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CC66" w14:textId="3755FC58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Training Fiche Template</w:t>
      </w:r>
    </w:p>
    <w:tbl>
      <w:tblPr>
        <w:tblStyle w:val="Siatkatabeli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Title 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54CF28A5" w:rsidR="006049C6" w:rsidRPr="00F5286C" w:rsidRDefault="002C131C" w:rsidP="002C131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ROZWIJANIE NOWYCH KANAŁÓW</w:t>
            </w:r>
            <w:r w:rsidR="00F5286C" w:rsidRPr="00F5286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gramStart"/>
            <w:r w:rsidR="00F5286C" w:rsidRPr="00F5286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E-COMMERCE</w:t>
            </w:r>
            <w:proofErr w:type="gramEnd"/>
            <w:r w:rsidR="00F5286C" w:rsidRPr="00F5286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/ M-COMMERCE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25C568AC" w:rsidR="006049C6" w:rsidRPr="00B6602E" w:rsidRDefault="00B660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6602E">
              <w:rPr>
                <w:rFonts w:asciiTheme="minorHAnsi" w:hAnsiTheme="minorHAnsi" w:cstheme="minorHAnsi"/>
                <w:color w:val="000000" w:themeColor="text1"/>
              </w:rPr>
              <w:t>E-commerce, m-commerce, B2B, B2C, C2B, C2C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6CDFA1A9" w:rsidR="006049C6" w:rsidRPr="00B6602E" w:rsidRDefault="002C131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Polski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5FF1DB3F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Objectives  / Goals / Learni</w:t>
            </w:r>
            <w:r w:rsidR="0037230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44235" w14:textId="69265EC1" w:rsidR="002C131C" w:rsidRPr="002C131C" w:rsidRDefault="002C131C" w:rsidP="002C131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Znajomość </w:t>
            </w:r>
            <w:r w:rsidRPr="002C131C">
              <w:rPr>
                <w:rFonts w:asciiTheme="minorHAnsi" w:hAnsiTheme="minorHAnsi" w:cstheme="minorHAnsi"/>
                <w:color w:val="000000" w:themeColor="text1"/>
                <w:lang w:val="es-ES"/>
              </w:rPr>
              <w:t>podstawy e-commerce</w:t>
            </w:r>
          </w:p>
          <w:p w14:paraId="24BF8271" w14:textId="26BF7AED" w:rsidR="002C131C" w:rsidRPr="002C131C" w:rsidRDefault="002C131C" w:rsidP="002C131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Umiejętność rozpoznania</w:t>
            </w:r>
            <w:r w:rsidRPr="002C131C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wady i zalety e-commerce</w:t>
            </w:r>
          </w:p>
          <w:p w14:paraId="53277E66" w14:textId="5BF30B36" w:rsidR="002C131C" w:rsidRPr="002C131C" w:rsidRDefault="002C131C" w:rsidP="002C131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Rozpoznawanie najważniejszych rodzajów</w:t>
            </w:r>
            <w:r w:rsidRPr="002C131C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e-commerce</w:t>
            </w:r>
          </w:p>
          <w:p w14:paraId="3E0ADB40" w14:textId="6367AED0" w:rsidR="00F5286C" w:rsidRPr="002C131C" w:rsidRDefault="002C131C" w:rsidP="002C131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Prawidłowa ocena okazji</w:t>
            </w:r>
            <w:r w:rsidRPr="002C131C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biznesow</w:t>
            </w: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ych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Training area: (Select one)  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 Marketing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 / Financing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6ED1AB3E" w:rsidR="006049C6" w:rsidRPr="005C508D" w:rsidRDefault="00F5286C" w:rsidP="00F5286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 Well-Being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Smart work / Digital Nomads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40D1D" w14:textId="77777777" w:rsidR="002C131C" w:rsidRPr="002C131C" w:rsidRDefault="002C131C" w:rsidP="002C131C">
            <w:pPr>
              <w:pStyle w:val="Akapitzlist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C131C">
              <w:rPr>
                <w:rFonts w:asciiTheme="minorHAnsi" w:eastAsia="Times New Roman" w:hAnsiTheme="minorHAnsi" w:cstheme="minorHAnsi"/>
                <w:lang w:eastAsia="en-GB"/>
              </w:rPr>
              <w:t>E-commerce to działalność polegająca na kupowaniu i sprzedawaniu towarów lub usług za pośrednictwem Internetu, natomiast m-commerce to transakcje dokonywane przy użyciu telefonów komórkowych i podobnych urządzeń.</w:t>
            </w:r>
          </w:p>
          <w:p w14:paraId="5A0579CB" w14:textId="6E67D98A" w:rsidR="00F5286C" w:rsidRPr="004206B9" w:rsidRDefault="002C131C" w:rsidP="002C131C">
            <w:pPr>
              <w:pStyle w:val="Akapitzlist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C131C">
              <w:rPr>
                <w:rFonts w:asciiTheme="minorHAnsi" w:eastAsia="Times New Roman" w:hAnsiTheme="minorHAnsi" w:cstheme="minorHAnsi"/>
                <w:lang w:eastAsia="en-GB"/>
              </w:rPr>
              <w:t>E-commerce i M-commerce otwierają nowe relacje biznes-konsument i możliwości biznesowe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C6DA" w14:textId="090969B6" w:rsidR="006049C6" w:rsidRPr="004206B9" w:rsidRDefault="00A752F7" w:rsidP="004206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Rozwijanie nowych kanałów e-commerce / m-commerce</w:t>
            </w:r>
          </w:p>
          <w:p w14:paraId="66969EFB" w14:textId="77777777" w:rsidR="004206B9" w:rsidRPr="004206B9" w:rsidRDefault="004206B9" w:rsidP="004206B9">
            <w:pPr>
              <w:pStyle w:val="Akapitzlist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7D1B915F" w:rsidR="006049C6" w:rsidRPr="00A752F7" w:rsidRDefault="006049C6" w:rsidP="00A752F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1.1 </w:t>
            </w:r>
            <w:r w:rsidR="00A752F7" w:rsidRPr="00A752F7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Podstawy </w:t>
            </w:r>
            <w:proofErr w:type="gramStart"/>
            <w:r w:rsidR="00A752F7" w:rsidRPr="00A752F7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</w:t>
            </w:r>
            <w:proofErr w:type="gramEnd"/>
            <w:r w:rsidR="00A752F7" w:rsidRPr="00A752F7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dla bardziej odpornego MŚP</w:t>
            </w:r>
          </w:p>
          <w:p w14:paraId="3AD1BF31" w14:textId="622004B3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1.1.1 </w:t>
            </w:r>
            <w:r w:rsidR="002C131C" w:rsidRPr="002C13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Czym jest </w:t>
            </w:r>
            <w:proofErr w:type="gramStart"/>
            <w:r w:rsidR="002C131C" w:rsidRPr="002C131C">
              <w:rPr>
                <w:rFonts w:asciiTheme="minorHAnsi" w:eastAsia="Times New Roman" w:hAnsiTheme="minorHAnsi" w:cstheme="minorHAnsi"/>
                <w:lang w:val="en-US" w:eastAsia="en-GB"/>
              </w:rPr>
              <w:t>e-commerce</w:t>
            </w:r>
            <w:proofErr w:type="gramEnd"/>
          </w:p>
          <w:p w14:paraId="1BA07E17" w14:textId="1401AED8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1.1.2 </w:t>
            </w:r>
            <w:r w:rsidR="002C131C" w:rsidRPr="002C13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Wady </w:t>
            </w:r>
            <w:proofErr w:type="gramStart"/>
            <w:r w:rsidR="002C131C" w:rsidRPr="002C131C">
              <w:rPr>
                <w:rFonts w:asciiTheme="minorHAnsi" w:eastAsia="Times New Roman" w:hAnsiTheme="minorHAnsi" w:cstheme="minorHAnsi"/>
                <w:lang w:val="en-US" w:eastAsia="en-GB"/>
              </w:rPr>
              <w:t>i</w:t>
            </w:r>
            <w:proofErr w:type="gramEnd"/>
            <w:r w:rsidR="002C131C" w:rsidRPr="002C13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zalety e-commerce</w:t>
            </w:r>
          </w:p>
          <w:p w14:paraId="696955FE" w14:textId="7D94AE97" w:rsidR="006049C6" w:rsidRDefault="006049C6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lang w:eastAsia="en-GB"/>
              </w:rPr>
              <w:t xml:space="preserve">1.1.3 </w:t>
            </w:r>
            <w:r w:rsidR="002C131C" w:rsidRPr="002C13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Rodzaje </w:t>
            </w:r>
            <w:proofErr w:type="gramStart"/>
            <w:r w:rsidR="002C131C" w:rsidRPr="002C131C">
              <w:rPr>
                <w:rFonts w:asciiTheme="minorHAnsi" w:eastAsia="Times New Roman" w:hAnsiTheme="minorHAnsi" w:cstheme="minorHAnsi"/>
                <w:lang w:val="en-US" w:eastAsia="en-GB"/>
              </w:rPr>
              <w:t>E-commerce</w:t>
            </w:r>
            <w:proofErr w:type="gramEnd"/>
            <w:r w:rsidR="002C131C" w:rsidRPr="002C131C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(B2B, B2C, C2B, C2C)</w:t>
            </w:r>
          </w:p>
          <w:p w14:paraId="1D454438" w14:textId="49292BB5" w:rsidR="002C131C" w:rsidRDefault="004206B9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1.1.4 </w:t>
            </w:r>
            <w:r w:rsidR="002C131C" w:rsidRPr="002C131C">
              <w:rPr>
                <w:rFonts w:asciiTheme="minorHAnsi" w:eastAsia="Times New Roman" w:hAnsiTheme="minorHAnsi" w:cstheme="minorHAnsi"/>
                <w:lang w:val="en-US" w:eastAsia="en-GB"/>
              </w:rPr>
              <w:t>Okazje biznesowe</w:t>
            </w:r>
          </w:p>
          <w:p w14:paraId="0914DDC6" w14:textId="22F6193F" w:rsidR="004206B9" w:rsidRPr="004206B9" w:rsidRDefault="004206B9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Self-evaluation (multiple choice queries and answers)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580A26E2" w14:textId="77777777" w:rsidR="00000000" w:rsidRPr="00A752F7" w:rsidRDefault="00A752F7" w:rsidP="00A752F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M-commerce odnosi się do:</w:t>
            </w:r>
          </w:p>
          <w:p w14:paraId="188293CE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a.- Mojego własnego biznesu (commerce)</w:t>
            </w:r>
          </w:p>
          <w:p w14:paraId="646D084C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b.- Mobile (komórkowego) biznesu </w:t>
            </w:r>
          </w:p>
          <w:p w14:paraId="45E429DE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c.- Middle-commerce</w:t>
            </w:r>
          </w:p>
          <w:p w14:paraId="69B496EE" w14:textId="5D2716D1" w:rsidR="002313C0" w:rsidRPr="005C508D" w:rsidRDefault="00A752F7" w:rsidP="00A752F7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</w:p>
          <w:p w14:paraId="2BCC0516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2. </w:t>
            </w:r>
            <w:r w:rsidRPr="00A752F7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Business to people (B2P): </w:t>
            </w:r>
          </w:p>
          <w:p w14:paraId="4CEBE0E0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a.- Dba o potrzeby ludzi</w:t>
            </w:r>
          </w:p>
          <w:p w14:paraId="101EE0F2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lastRenderedPageBreak/>
              <w:t>b.- Koncentruje się na rozwijaniu kontaktów biznesowych z ludźmi</w:t>
            </w:r>
          </w:p>
          <w:p w14:paraId="0BA86927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 xml:space="preserve">c.- </w:t>
            </w: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Nie istnieje</w:t>
            </w:r>
          </w:p>
          <w:p w14:paraId="1EDC2137" w14:textId="56D6AA59" w:rsidR="002313C0" w:rsidRPr="002313C0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</w:p>
          <w:p w14:paraId="4C7B6D31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3. Business to Customer/Konsument (B2C) stawia na:</w:t>
            </w:r>
          </w:p>
          <w:p w14:paraId="3618E0D2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a.- Bezproblemową integracja między aplikacjami</w:t>
            </w:r>
          </w:p>
          <w:p w14:paraId="7375A0F7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 xml:space="preserve">b.- </w:t>
            </w: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Prosty, przystępny i atrakcyjny design</w:t>
            </w:r>
          </w:p>
          <w:p w14:paraId="02AD2B48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c.- Umieszczanie eleganckich animacji</w:t>
            </w:r>
          </w:p>
          <w:p w14:paraId="6C5962D1" w14:textId="7251F045" w:rsidR="006049C6" w:rsidRPr="005C508D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20736CB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4. Ciągle zmieniający się scenariusz wymaga:</w:t>
            </w:r>
          </w:p>
          <w:p w14:paraId="59CDCA1C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a.- Elastycznych przedsiębiorstw otwatych na potrzeby klientów</w:t>
            </w:r>
          </w:p>
          <w:p w14:paraId="46CF6F22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b.- Niezmieniania propozycji</w:t>
            </w:r>
          </w:p>
          <w:p w14:paraId="1EE758D3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c.- Wymiany urządzeń technicznych</w:t>
            </w:r>
          </w:p>
          <w:p w14:paraId="3C30DDD1" w14:textId="337531E0" w:rsidR="006049C6" w:rsidRPr="005C508D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DC013B1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5. </w:t>
            </w:r>
            <w:r w:rsidRPr="00A752F7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>Czy e-commerce obniża koszty?</w:t>
            </w:r>
          </w:p>
          <w:p w14:paraId="7CC071FF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>a.- nie</w:t>
            </w:r>
          </w:p>
          <w:p w14:paraId="22E4704D" w14:textId="77777777" w:rsidR="00A752F7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b.- tak</w:t>
            </w:r>
          </w:p>
          <w:p w14:paraId="41A84EAB" w14:textId="30B4F445" w:rsidR="006049C6" w:rsidRPr="00A752F7" w:rsidRDefault="00A752F7" w:rsidP="00A752F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</w:pPr>
            <w:r w:rsidRPr="00A752F7">
              <w:rPr>
                <w:rFonts w:asciiTheme="minorHAnsi" w:eastAsia="Times New Roman" w:hAnsiTheme="minorHAnsi" w:cstheme="minorHAnsi"/>
                <w:bCs/>
                <w:lang w:val="es-ES" w:eastAsia="en-GB"/>
              </w:rPr>
              <w:t xml:space="preserve">c.- </w:t>
            </w:r>
            <w:proofErr w:type="gramStart"/>
            <w:r w:rsidRPr="00A752F7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tylko</w:t>
            </w:r>
            <w:proofErr w:type="gramEnd"/>
            <w:r w:rsidRPr="00A752F7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wśród dużych firm technologicznych</w:t>
            </w:r>
            <w:r w:rsidRPr="00A752F7">
              <w:rPr>
                <w:rFonts w:asciiTheme="minorHAnsi" w:eastAsia="Times New Roman" w:hAnsiTheme="minorHAnsi" w:cstheme="minorHAnsi"/>
                <w:b/>
                <w:bCs/>
                <w:lang w:val="pl-PL" w:eastAsia="en-GB"/>
              </w:rPr>
              <w:t xml:space="preserve"> </w:t>
            </w: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Resources (videos, reference link)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bookmarkStart w:id="0" w:name="_GoBack"/>
            <w:bookmarkEnd w:id="0"/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material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0AA133BE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ESMERALD_ECOMMERCE_IWS.pptx</w:t>
            </w:r>
          </w:p>
        </w:tc>
      </w:tr>
      <w:tr w:rsidR="006049C6" w:rsidRPr="005C508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Bibliography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16EAE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2B813F48" w14:textId="4A83AB89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New Brunswick administration --- </w:t>
            </w:r>
            <w:hyperlink r:id="rId8" w:history="1">
              <w:r w:rsidRPr="000A36B2">
                <w:rPr>
                  <w:rStyle w:val="Hipercze"/>
                  <w:rFonts w:asciiTheme="minorHAnsi" w:hAnsiTheme="minorHAnsi" w:cstheme="minorHAnsi"/>
                  <w:lang w:val="es-ES"/>
                </w:rPr>
                <w:t>https://www2.snb.ca/content/snb/en/sites/licensing/vendor/eft-faq.html#:~:text=Electronic%20funds%20transfer%20(EFT)is,%2C%20through%20computer%2Dbased%20systems</w:t>
              </w:r>
            </w:hyperlink>
          </w:p>
          <w:p w14:paraId="18656608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0507EF37" w14:textId="3964767C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Investopedia --- </w:t>
            </w:r>
            <w:hyperlink r:id="rId9" w:history="1">
              <w:r w:rsidRPr="000A36B2">
                <w:rPr>
                  <w:rStyle w:val="Hipercze"/>
                  <w:rFonts w:asciiTheme="minorHAnsi" w:hAnsiTheme="minorHAnsi" w:cstheme="minorHAnsi"/>
                  <w:lang w:val="es-ES"/>
                </w:rPr>
                <w:t>https://www.investopedia.com/terms/b/btob.asp</w:t>
              </w:r>
            </w:hyperlink>
          </w:p>
          <w:p w14:paraId="1C70CE33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2EA33D5D" w14:textId="52340B7D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Inveon --- </w:t>
            </w:r>
            <w:hyperlink r:id="rId10" w:history="1">
              <w:r w:rsidRPr="000A36B2">
                <w:rPr>
                  <w:rStyle w:val="Hipercze"/>
                  <w:rFonts w:asciiTheme="minorHAnsi" w:hAnsiTheme="minorHAnsi" w:cstheme="minorHAnsi"/>
                  <w:lang w:val="es-ES"/>
                </w:rPr>
                <w:t>https://www.inveon.com/data-driven-marketing-and-management-for-e-commerce-platforms</w:t>
              </w:r>
            </w:hyperlink>
          </w:p>
          <w:p w14:paraId="4775F386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15D24FED" w14:textId="1B40FB53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Indeed --- </w:t>
            </w:r>
            <w:hyperlink r:id="rId11" w:history="1">
              <w:r w:rsidRPr="000A36B2">
                <w:rPr>
                  <w:rStyle w:val="Hipercze"/>
                  <w:rFonts w:asciiTheme="minorHAnsi" w:hAnsiTheme="minorHAnsi" w:cstheme="minorHAnsi"/>
                  <w:lang w:val="es-ES"/>
                </w:rPr>
                <w:t>https://www.indeed.com/career-advice/career-development/consumer-to-business#:~:text=Examples%20of%20how%20consumer%20to,cut%20of%20the%20ad%20revenue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Provided by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D3F8D1C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rFonts w:asciiTheme="minorHAnsi" w:hAnsiTheme="minorHAnsi" w:cstheme="minorHAnsi"/>
                <w:color w:val="000000" w:themeColor="text1"/>
                <w:lang w:val="es-ES"/>
              </w:rPr>
              <w:t>Internet Web Solutions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2C131C" w:rsidRPr="005C508D" w:rsidRDefault="002C131C" w:rsidP="005D3D97">
      <w:pPr>
        <w:rPr>
          <w:rFonts w:asciiTheme="minorHAnsi" w:hAnsiTheme="minorHAnsi" w:cstheme="minorHAnsi"/>
        </w:rPr>
      </w:pPr>
    </w:p>
    <w:sectPr w:rsidR="002C131C" w:rsidRPr="005C508D" w:rsidSect="006049C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09BD7" w14:textId="77777777" w:rsidR="002C131C" w:rsidRDefault="002C131C" w:rsidP="005D3D97">
      <w:pPr>
        <w:spacing w:after="0" w:line="240" w:lineRule="auto"/>
      </w:pPr>
      <w:r>
        <w:separator/>
      </w:r>
    </w:p>
  </w:endnote>
  <w:endnote w:type="continuationSeparator" w:id="0">
    <w:p w14:paraId="16E3253D" w14:textId="77777777" w:rsidR="002C131C" w:rsidRDefault="002C131C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Bahnschrift SemiLight">
    <w:altName w:val="Luminar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2E7AA" w14:textId="7B58F247" w:rsidR="002C131C" w:rsidRDefault="002C131C">
    <w:pPr>
      <w:pStyle w:val="Stopka"/>
    </w:pPr>
    <w:r w:rsidRPr="00505F0E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120" cy="6807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120" cy="680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2C131C" w:rsidRPr="00505F0E" w:rsidRDefault="002C131C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programme of the European Union. This document and its contents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reflects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the views only of the authors, and the Commission cannot be held responsible for any use which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pt;width:465.6pt;height:53.6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" filled="f" stroked="f">
              <v:textbox style="mso-fit-shape-to-text:t">
                <w:txbxContent>
                  <w:p w14:paraId="45524985" w14:textId="77777777" w:rsidR="002C131C" w:rsidRPr="00505F0E" w:rsidRDefault="002C131C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programme of the European Union.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n-US" w:eastAsia="pl-P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F920A" w14:textId="77777777" w:rsidR="002C131C" w:rsidRDefault="002C131C" w:rsidP="005D3D97">
      <w:pPr>
        <w:spacing w:after="0" w:line="240" w:lineRule="auto"/>
      </w:pPr>
      <w:r>
        <w:separator/>
      </w:r>
    </w:p>
  </w:footnote>
  <w:footnote w:type="continuationSeparator" w:id="0">
    <w:p w14:paraId="612D9072" w14:textId="77777777" w:rsidR="002C131C" w:rsidRDefault="002C131C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FC66" w14:textId="2255867C" w:rsidR="002C131C" w:rsidRPr="000C31A9" w:rsidRDefault="002C131C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2C131C" w:rsidRPr="000C31A9" w:rsidRDefault="002C131C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2C131C" w:rsidRDefault="002C131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AE4"/>
    <w:multiLevelType w:val="hybridMultilevel"/>
    <w:tmpl w:val="4CC0C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B4185"/>
    <w:multiLevelType w:val="hybridMultilevel"/>
    <w:tmpl w:val="B406CF54"/>
    <w:lvl w:ilvl="0" w:tplc="787C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E4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80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01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88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2E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A9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2B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48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34D28"/>
    <w:multiLevelType w:val="hybridMultilevel"/>
    <w:tmpl w:val="5838C3BC"/>
    <w:lvl w:ilvl="0" w:tplc="B606B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C2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E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81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41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C4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2F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43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3"/>
    <w:rsid w:val="000A36B2"/>
    <w:rsid w:val="000C31A9"/>
    <w:rsid w:val="000D586A"/>
    <w:rsid w:val="002313C0"/>
    <w:rsid w:val="002C131C"/>
    <w:rsid w:val="00372306"/>
    <w:rsid w:val="004206B9"/>
    <w:rsid w:val="00505F0E"/>
    <w:rsid w:val="005C508D"/>
    <w:rsid w:val="005D3D97"/>
    <w:rsid w:val="005F5748"/>
    <w:rsid w:val="006049C6"/>
    <w:rsid w:val="006975E6"/>
    <w:rsid w:val="006F1399"/>
    <w:rsid w:val="007056E7"/>
    <w:rsid w:val="00766537"/>
    <w:rsid w:val="00774CCE"/>
    <w:rsid w:val="008E2D90"/>
    <w:rsid w:val="009621A6"/>
    <w:rsid w:val="009D3E93"/>
    <w:rsid w:val="00A43ECC"/>
    <w:rsid w:val="00A752F7"/>
    <w:rsid w:val="00B6602E"/>
    <w:rsid w:val="00C17ABD"/>
    <w:rsid w:val="00D24E8C"/>
    <w:rsid w:val="00D47E25"/>
    <w:rsid w:val="00D87393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C310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97"/>
  </w:style>
  <w:style w:type="paragraph" w:styleId="Stopka">
    <w:name w:val="footer"/>
    <w:basedOn w:val="Normalny"/>
    <w:link w:val="Stopka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97"/>
  </w:style>
  <w:style w:type="paragraph" w:styleId="Akapitzlist">
    <w:name w:val="List Paragraph"/>
    <w:basedOn w:val="Normalny"/>
    <w:uiPriority w:val="99"/>
    <w:qFormat/>
    <w:rsid w:val="006049C6"/>
    <w:pPr>
      <w:ind w:left="720"/>
      <w:contextualSpacing/>
    </w:pPr>
    <w:rPr>
      <w:lang w:val="sk-SK"/>
    </w:rPr>
  </w:style>
  <w:style w:type="table" w:styleId="Siatkatabeli">
    <w:name w:val="Table Grid"/>
    <w:basedOn w:val="Standardowy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36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6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752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97"/>
  </w:style>
  <w:style w:type="paragraph" w:styleId="Stopka">
    <w:name w:val="footer"/>
    <w:basedOn w:val="Normalny"/>
    <w:link w:val="StopkaZnak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97"/>
  </w:style>
  <w:style w:type="paragraph" w:styleId="Akapitzlist">
    <w:name w:val="List Paragraph"/>
    <w:basedOn w:val="Normalny"/>
    <w:uiPriority w:val="99"/>
    <w:qFormat/>
    <w:rsid w:val="006049C6"/>
    <w:pPr>
      <w:ind w:left="720"/>
      <w:contextualSpacing/>
    </w:pPr>
    <w:rPr>
      <w:lang w:val="sk-SK"/>
    </w:rPr>
  </w:style>
  <w:style w:type="table" w:styleId="Siatkatabeli">
    <w:name w:val="Table Grid"/>
    <w:basedOn w:val="Standardowy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36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6B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752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deed.com/career-advice/career-development/consumer-to-business%23:~:text=Examples%20of%20how%20consumer%20to,cut%20of%20the%20ad%20revenu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2.snb.ca/content/snb/en/sites/licensing/vendor/eft-faq.html%23:~:text=Electronic%20funds%20transfer%20(EFT)is,%2C%20through%20computer%2Dbased%20systems" TargetMode="External"/><Relationship Id="rId9" Type="http://schemas.openxmlformats.org/officeDocument/2006/relationships/hyperlink" Target="https://www.investopedia.com/terms/b/btob.asp" TargetMode="External"/><Relationship Id="rId10" Type="http://schemas.openxmlformats.org/officeDocument/2006/relationships/hyperlink" Target="https://www.inveon.com/data-driven-marketing-and-management-for-e-commerce-platfor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Grzegorz Mania</cp:lastModifiedBy>
  <cp:revision>2</cp:revision>
  <dcterms:created xsi:type="dcterms:W3CDTF">2022-10-12T21:35:00Z</dcterms:created>
  <dcterms:modified xsi:type="dcterms:W3CDTF">2022-10-12T21:35:00Z</dcterms:modified>
</cp:coreProperties>
</file>