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5A34C3F2"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el"/>
        </w:rPr>
        <w:t>Πρότυπο εκπαιδευτικού δελτίου</w:t>
      </w:r>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b/>
                <w:bCs/>
                <w:color w:val="FFFFFF" w:themeColor="background1"/>
                <w:lang w:val="el" w:eastAsia="en-GB"/>
              </w:rPr>
              <w:t>Τίτλος</w:t>
            </w:r>
            <w:r w:rsidRPr="005C508D">
              <w:rPr>
                <w:b/>
                <w:bCs/>
                <w:color w:val="FFFFFF" w:themeColor="background1"/>
                <w:lang w:val="el" w:eastAsia="en-GB"/>
              </w:rPr>
              <w:tab/>
            </w:r>
            <w:r w:rsidRPr="005C508D">
              <w:rPr>
                <w:b/>
                <w:bCs/>
                <w:color w:val="FFFFFF" w:themeColor="background1"/>
                <w:lang w:val="el"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047E4963" w:rsidR="006049C6" w:rsidRPr="0026414E" w:rsidRDefault="005519F6" w:rsidP="005519F6">
            <w:pPr>
              <w:rPr>
                <w:rFonts w:asciiTheme="minorHAnsi" w:hAnsiTheme="minorHAnsi" w:cstheme="minorHAnsi"/>
                <w:color w:val="000000" w:themeColor="text1"/>
              </w:rPr>
            </w:pPr>
            <w:r w:rsidRPr="0026414E">
              <w:rPr>
                <w:color w:val="000000" w:themeColor="text1"/>
                <w:lang w:val="el"/>
              </w:rPr>
              <w:t>Εφαρμογή του πολυκαναλικού μοντέλου και αύξηση της άνεσης</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1D6868DD"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Λέξεις-κλειδιά (</w:t>
            </w:r>
            <w:proofErr w:type="spellStart"/>
            <w:r w:rsidRPr="005C508D">
              <w:rPr>
                <w:b/>
                <w:bCs/>
                <w:color w:val="FFFFFF" w:themeColor="background1"/>
                <w:lang w:val="el" w:eastAsia="en-GB"/>
              </w:rPr>
              <w:t>μεταετικέτα</w:t>
            </w:r>
            <w:proofErr w:type="spellEnd"/>
            <w:r w:rsidRPr="005C508D">
              <w:rPr>
                <w:b/>
                <w:bCs/>
                <w:color w:val="FFFFFF" w:themeColor="background1"/>
                <w:lang w:val="el"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B097EF3" w:rsidR="006049C6" w:rsidRPr="0026414E" w:rsidRDefault="00CE4C23">
            <w:pPr>
              <w:rPr>
                <w:rFonts w:asciiTheme="minorHAnsi" w:hAnsiTheme="minorHAnsi" w:cstheme="minorHAnsi"/>
                <w:color w:val="000000" w:themeColor="text1"/>
              </w:rPr>
            </w:pPr>
            <w:r>
              <w:rPr>
                <w:color w:val="000000" w:themeColor="text1"/>
                <w:lang w:val="el"/>
              </w:rPr>
              <w:t>Πολυκαναλικό, Πολυκαναλικό</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Γλώσσα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8A60206" w:rsidR="006049C6" w:rsidRPr="0026414E" w:rsidRDefault="00710FC1">
            <w:pPr>
              <w:rPr>
                <w:rFonts w:asciiTheme="minorHAnsi" w:hAnsiTheme="minorHAnsi" w:cstheme="minorHAnsi"/>
                <w:color w:val="000000" w:themeColor="text1"/>
              </w:rPr>
            </w:pPr>
            <w:r w:rsidRPr="00710FC1">
              <w:rPr>
                <w:color w:val="000000" w:themeColor="text1"/>
                <w:lang w:val="el"/>
              </w:rPr>
              <w:t>Ελληνικά</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D659740" w:rsidR="006049C6" w:rsidRPr="005C508D" w:rsidRDefault="006049C6">
            <w:pPr>
              <w:rPr>
                <w:rFonts w:asciiTheme="minorHAnsi" w:hAnsiTheme="minorHAnsi" w:cstheme="minorHAnsi"/>
                <w:b/>
                <w:bCs/>
                <w:color w:val="FFFFFF" w:themeColor="background1"/>
              </w:rPr>
            </w:pPr>
            <w:r w:rsidRPr="005C508D">
              <w:rPr>
                <w:b/>
                <w:bCs/>
                <w:color w:val="FFFFFF" w:themeColor="background1"/>
                <w:lang w:val="el" w:eastAsia="en-GB"/>
              </w:rPr>
              <w:t>Στόχοι /Διδάγματα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1618B" w14:textId="77777777" w:rsidR="0026414E" w:rsidRPr="00176774" w:rsidRDefault="0026414E" w:rsidP="00176774">
            <w:pPr>
              <w:pStyle w:val="ListParagraph"/>
              <w:numPr>
                <w:ilvl w:val="0"/>
                <w:numId w:val="3"/>
              </w:numPr>
              <w:rPr>
                <w:rFonts w:asciiTheme="minorHAnsi" w:hAnsiTheme="minorHAnsi" w:cstheme="minorHAnsi"/>
                <w:color w:val="000000" w:themeColor="text1"/>
              </w:rPr>
            </w:pPr>
            <w:r w:rsidRPr="00176774">
              <w:rPr>
                <w:color w:val="000000" w:themeColor="text1"/>
                <w:lang w:val="el"/>
              </w:rPr>
              <w:t>Κατανοήστε τα βασικά στοιχεία, τα δυνατά και αδύνατα σημεία παντός καναλιού</w:t>
            </w:r>
          </w:p>
          <w:p w14:paraId="6BEA54CC" w14:textId="77777777" w:rsidR="0026414E" w:rsidRPr="00176774" w:rsidRDefault="0026414E" w:rsidP="00176774">
            <w:pPr>
              <w:pStyle w:val="ListParagraph"/>
              <w:numPr>
                <w:ilvl w:val="0"/>
                <w:numId w:val="3"/>
              </w:numPr>
              <w:rPr>
                <w:rFonts w:asciiTheme="minorHAnsi" w:hAnsiTheme="minorHAnsi" w:cstheme="minorHAnsi"/>
                <w:color w:val="000000" w:themeColor="text1"/>
              </w:rPr>
            </w:pPr>
            <w:r w:rsidRPr="00176774">
              <w:rPr>
                <w:color w:val="000000" w:themeColor="text1"/>
                <w:lang w:val="el"/>
              </w:rPr>
              <w:t>Μάθετε πώς μπορείτε να το διαφοροποιήσετε από πολυκαναλικές ενέργειες</w:t>
            </w:r>
          </w:p>
          <w:p w14:paraId="3E0ADB40" w14:textId="4120EA26" w:rsidR="0026414E" w:rsidRPr="00176774" w:rsidRDefault="0026414E" w:rsidP="00176774">
            <w:pPr>
              <w:pStyle w:val="ListParagraph"/>
              <w:numPr>
                <w:ilvl w:val="0"/>
                <w:numId w:val="3"/>
              </w:numPr>
              <w:rPr>
                <w:rFonts w:asciiTheme="minorHAnsi" w:hAnsiTheme="minorHAnsi" w:cstheme="minorHAnsi"/>
                <w:color w:val="1F3864" w:themeColor="accent1" w:themeShade="80"/>
              </w:rPr>
            </w:pPr>
            <w:r w:rsidRPr="00176774">
              <w:rPr>
                <w:color w:val="000000" w:themeColor="text1"/>
                <w:lang w:val="el"/>
              </w:rPr>
              <w:t>Μάθετε περισσότερα σχετικά με τις αποδεδειγμένες στρατηγικές παντός καναλιού</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b/>
                <w:bCs/>
                <w:color w:val="FFFFFF" w:themeColor="background1"/>
                <w:lang w:val="el" w:eastAsia="en-GB"/>
              </w:rPr>
              <w:t>Περιοχή προπόνησης: (Επιλέξτε μία)</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427A3B" w:rsidRDefault="005C508D">
            <w:pPr>
              <w:rPr>
                <w:rFonts w:asciiTheme="minorHAnsi" w:eastAsia="Times New Roman" w:hAnsiTheme="minorHAnsi" w:cstheme="minorHAnsi"/>
                <w:b/>
                <w:bCs/>
                <w:lang w:val="el-GR" w:eastAsia="en-GB"/>
              </w:rPr>
            </w:pPr>
            <w:r w:rsidRPr="005C508D">
              <w:rPr>
                <w:b/>
                <w:bCs/>
                <w:lang w:val="el" w:eastAsia="en-GB"/>
              </w:rPr>
              <w:t>Online / Ψηφιακό Μάρκετινγκ / Ασφάλεια στον Κυβερνοχώρο</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b/>
                <w:bCs/>
                <w:color w:val="FFFFFF" w:themeColor="background1"/>
                <w:lang w:val="el"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b/>
                <w:bCs/>
                <w:lang w:val="el" w:eastAsia="en-GB"/>
              </w:rPr>
              <w:t>Ηλεκτρονικό Εμπόριο / Χρηματοδότηση</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b/>
                <w:bCs/>
                <w:lang w:val="el" w:eastAsia="en-GB"/>
              </w:rPr>
              <w:t>Ψηφιακή Ευεξία</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b/>
                <w:bCs/>
                <w:lang w:val="el" w:eastAsia="en-GB"/>
              </w:rPr>
              <w:t>Έξυπνη εργασία / Ψηφιακοί Νομάδες</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354B2F">
        <w:trPr>
          <w:trHeight w:val="122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33A85F6C"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 xml:space="preserve">Περιγραφή: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CB4FA6C" w:rsidR="006049C6" w:rsidRPr="005C764F" w:rsidRDefault="005C764F" w:rsidP="005C764F">
            <w:pPr>
              <w:pStyle w:val="ListParagraph"/>
              <w:spacing w:after="0" w:line="240" w:lineRule="auto"/>
              <w:ind w:left="360"/>
              <w:textAlignment w:val="baseline"/>
              <w:rPr>
                <w:rFonts w:asciiTheme="minorHAnsi" w:eastAsia="Times New Roman" w:hAnsiTheme="minorHAnsi" w:cstheme="minorHAnsi"/>
                <w:lang w:eastAsia="en-GB"/>
              </w:rPr>
            </w:pPr>
            <w:r w:rsidRPr="005C764F">
              <w:rPr>
                <w:lang w:val="el" w:eastAsia="en-GB"/>
              </w:rPr>
              <w:t>Το Omnichannel είναι ένα μοντέλο που στοχεύει να προσφέρει στους πελάτες μια προσαρμοσμένη εμπειρία μέσω μιας ποικιλίας καναλιών επικοινωνίας, για να μετατρέψει τις επισκέψεις σε πωλήσεις.  Επιτρέπει ένα ευρύτερο φάσμα ευκαιριών για να έρθετε σε επαφή με πιθανούς πελάτες</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b/>
                <w:bCs/>
                <w:color w:val="FFFFFF" w:themeColor="background1"/>
                <w:lang w:val="el" w:eastAsia="en-GB"/>
              </w:rPr>
              <w:t>Περιεχόμενα διατεταγμένα σε 3 επίπεδα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2C6DA" w14:textId="69137AC6" w:rsidR="006049C6" w:rsidRPr="005C764F" w:rsidRDefault="005C764F" w:rsidP="005C764F">
            <w:pPr>
              <w:pStyle w:val="ListParagraph"/>
              <w:numPr>
                <w:ilvl w:val="0"/>
                <w:numId w:val="1"/>
              </w:numPr>
              <w:spacing w:after="0" w:line="240" w:lineRule="auto"/>
              <w:textAlignment w:val="baseline"/>
              <w:rPr>
                <w:rFonts w:asciiTheme="minorHAnsi" w:eastAsia="Times New Roman" w:hAnsiTheme="minorHAnsi" w:cstheme="minorHAnsi"/>
                <w:lang w:eastAsia="en-GB"/>
              </w:rPr>
            </w:pPr>
            <w:r w:rsidRPr="005C764F">
              <w:rPr>
                <w:b/>
                <w:bCs/>
                <w:lang w:val="el" w:eastAsia="en-GB"/>
              </w:rPr>
              <w:t>Εφαρμογή του πολυκαναλικού μοντέλου και αύξηση της άνεσης</w:t>
            </w:r>
          </w:p>
          <w:p w14:paraId="2B59F25F" w14:textId="77777777" w:rsidR="005C764F" w:rsidRPr="005C764F" w:rsidRDefault="005C764F" w:rsidP="005C764F">
            <w:pPr>
              <w:pStyle w:val="ListParagraph"/>
              <w:spacing w:after="0" w:line="240" w:lineRule="auto"/>
              <w:ind w:left="360"/>
              <w:textAlignment w:val="baseline"/>
              <w:rPr>
                <w:rFonts w:asciiTheme="minorHAnsi" w:eastAsia="Times New Roman" w:hAnsiTheme="minorHAnsi" w:cstheme="minorHAnsi"/>
                <w:lang w:eastAsia="en-GB"/>
              </w:rPr>
            </w:pPr>
          </w:p>
          <w:p w14:paraId="44137DE6" w14:textId="4444BDE4"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b/>
                <w:bCs/>
                <w:lang w:val="el" w:eastAsia="en-GB"/>
              </w:rPr>
              <w:t xml:space="preserve">1.1 </w:t>
            </w:r>
            <w:r w:rsidR="005C764F" w:rsidRPr="005C764F">
              <w:rPr>
                <w:b/>
                <w:bCs/>
                <w:lang w:val="el" w:eastAsia="en-GB"/>
              </w:rPr>
              <w:t xml:space="preserve">Βασικά στοιχεία και στρατηγικές για όλα τα κανάλια  </w:t>
            </w:r>
          </w:p>
          <w:p w14:paraId="3AD1BF31" w14:textId="54C9457D"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1.1.1 </w:t>
            </w:r>
            <w:r w:rsidR="005C764F" w:rsidRPr="005C764F">
              <w:rPr>
                <w:lang w:val="el" w:eastAsia="en-GB"/>
              </w:rPr>
              <w:t>Τι είναι το Πανκαναλικό</w:t>
            </w:r>
          </w:p>
          <w:p w14:paraId="1BA07E17" w14:textId="374109E9"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1.1.2 </w:t>
            </w:r>
            <w:r w:rsidR="005C764F" w:rsidRPr="005C764F">
              <w:rPr>
                <w:lang w:val="el" w:eastAsia="en-GB"/>
              </w:rPr>
              <w:t>Διαφορές μεταξύ Πολυκαναλικού και Πολυκαναλικού</w:t>
            </w:r>
          </w:p>
          <w:p w14:paraId="7711F02D" w14:textId="4F36EAAB"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lang w:val="el" w:eastAsia="en-GB"/>
              </w:rPr>
              <w:t xml:space="preserve">1.1.3 </w:t>
            </w:r>
            <w:r w:rsidR="005C764F" w:rsidRPr="005C764F">
              <w:rPr>
                <w:lang w:val="el" w:eastAsia="en-GB"/>
              </w:rPr>
              <w:t>Παραδείγματα πολυκαναλικών στρατηγικών</w:t>
            </w:r>
          </w:p>
          <w:p w14:paraId="08D579B7" w14:textId="1AA9D136" w:rsidR="005C764F" w:rsidRPr="005C508D" w:rsidRDefault="005C764F">
            <w:pPr>
              <w:spacing w:after="0" w:line="240" w:lineRule="auto"/>
              <w:ind w:left="708"/>
              <w:textAlignment w:val="baseline"/>
              <w:rPr>
                <w:rFonts w:asciiTheme="minorHAnsi" w:eastAsia="Times New Roman" w:hAnsiTheme="minorHAnsi" w:cstheme="minorHAnsi"/>
                <w:lang w:eastAsia="en-GB"/>
              </w:rPr>
            </w:pPr>
            <w:r>
              <w:rPr>
                <w:lang w:val="el" w:eastAsia="en-GB"/>
              </w:rPr>
              <w:t xml:space="preserve">1.1.4 </w:t>
            </w:r>
            <w:r w:rsidRPr="005C764F">
              <w:rPr>
                <w:lang w:val="el" w:eastAsia="en-GB"/>
              </w:rPr>
              <w:t>Οφέλη και προκλήσεις</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427A3B" w:rsidRDefault="006049C6">
            <w:pPr>
              <w:rPr>
                <w:rFonts w:asciiTheme="minorHAnsi" w:eastAsia="Times New Roman" w:hAnsiTheme="minorHAnsi" w:cstheme="minorHAnsi"/>
                <w:b/>
                <w:bCs/>
                <w:color w:val="FFFFFF" w:themeColor="background1"/>
                <w:lang w:val="el-GR" w:eastAsia="en-GB"/>
              </w:rPr>
            </w:pPr>
            <w:r w:rsidRPr="005C508D">
              <w:rPr>
                <w:b/>
                <w:bCs/>
                <w:color w:val="FFFFFF" w:themeColor="background1"/>
                <w:lang w:val="el"/>
              </w:rPr>
              <w:t>Αυτοαξιολόγηση (ερωτήματα και απαντήσεις πολλαπλής επιλογής)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427A3B" w:rsidRDefault="006049C6">
            <w:pPr>
              <w:spacing w:after="0" w:line="240" w:lineRule="auto"/>
              <w:ind w:left="708"/>
              <w:textAlignment w:val="baseline"/>
              <w:rPr>
                <w:rFonts w:asciiTheme="minorHAnsi" w:eastAsia="Times New Roman" w:hAnsiTheme="minorHAnsi" w:cstheme="minorHAnsi"/>
                <w:color w:val="266C9F"/>
                <w:lang w:val="el-GR" w:eastAsia="en-GB"/>
              </w:rPr>
            </w:pPr>
          </w:p>
          <w:p w14:paraId="763E38DE" w14:textId="3977B860"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1. Πολυκαναλικές εγκλωβίσεις:</w:t>
            </w:r>
          </w:p>
          <w:p w14:paraId="4C189F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67BEE382"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α.- Καταστήματα, ηλεκτρονικό εμπόριο, μέσα κοινωνικής δικτύωσης, τηλεφωνικά κέντρα</w:t>
            </w:r>
          </w:p>
          <w:p w14:paraId="212AE552"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 xml:space="preserve">β.- Περιοδικά, m-commerce, καταστήματα πολυμέσων, τηλεφωνικά κέντρα   </w:t>
            </w:r>
          </w:p>
          <w:p w14:paraId="049852C2" w14:textId="02ABA4F5"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lastRenderedPageBreak/>
              <w:t>γ.- Μέσα κοινωνικής δικτύωσης, ηλεκτρονικό εμπόριο, εκπαίδευση, υπολογιστικό νέφος</w:t>
            </w:r>
          </w:p>
          <w:p w14:paraId="0DE3FD22"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296742" w14:textId="37C09E89"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2. Είναι η υποστήριξη πελατών μια πρόκληση για το μοντέλο Omnichannel;</w:t>
            </w:r>
          </w:p>
          <w:p w14:paraId="766B401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0B87A361"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α.- Όχι</w:t>
            </w:r>
          </w:p>
          <w:p w14:paraId="6D938A0A"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β.- Ναι</w:t>
            </w:r>
          </w:p>
          <w:p w14:paraId="62AB9AAA" w14:textId="738EBAB8"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γ.- Μόνο μέσω τηλεφωνικής κλήσης</w:t>
            </w:r>
          </w:p>
          <w:p w14:paraId="459E1396"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05BCDF40" w14:textId="698B77B1"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3. Η κύρια διαφορά μεταξύ πολυκαναλικού και πολυκαναλικού είναι:</w:t>
            </w:r>
          </w:p>
          <w:p w14:paraId="39CD4C87"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13FDAC50"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α.- Απρόσκοπτη ενσωμάτωση μεταξύ των καναλιών</w:t>
            </w:r>
          </w:p>
          <w:p w14:paraId="05C847A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β.- Το πανκαναλικό έχει περισσότερα κανάλια</w:t>
            </w:r>
          </w:p>
          <w:p w14:paraId="6C5962D1" w14:textId="549FE15F"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γ.- Μια ευκολότερη προσέγγιση</w:t>
            </w:r>
          </w:p>
          <w:p w14:paraId="1495D1A1"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53005B88" w14:textId="7A97A13D"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4. Λήψη δεδομένων από κάθε συναλλαγή</w:t>
            </w:r>
          </w:p>
          <w:p w14:paraId="4FC462E5" w14:textId="77777777"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p>
          <w:p w14:paraId="3C12DA03" w14:textId="0D6FE6EE" w:rsidR="009E1AC0"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 xml:space="preserve">α.- Επιτρέπει την παρακολούθηση και ταξινόμηση </w:t>
            </w:r>
            <w:r w:rsidR="002A018E">
              <w:rPr>
                <w:b/>
                <w:bCs/>
                <w:lang w:val="el" w:eastAsia="en-GB"/>
              </w:rPr>
              <w:t xml:space="preserve">των </w:t>
            </w:r>
            <w:r w:rsidRPr="009E1AC0">
              <w:rPr>
                <w:b/>
                <w:bCs/>
                <w:lang w:val="el" w:eastAsia="en-GB"/>
              </w:rPr>
              <w:t>πελατών</w:t>
            </w:r>
          </w:p>
          <w:p w14:paraId="3A42715E"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β.- Είναι πάντα παράνομο</w:t>
            </w:r>
          </w:p>
          <w:p w14:paraId="3C30DDD1" w14:textId="15F7C57C" w:rsidR="006049C6"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γ.- Μπορεί να γεμίσει σκληρούς δίσκους</w:t>
            </w:r>
          </w:p>
          <w:p w14:paraId="5D5FE655" w14:textId="77777777" w:rsidR="009E1AC0" w:rsidRPr="005C508D" w:rsidRDefault="009E1AC0" w:rsidP="009E1AC0">
            <w:pPr>
              <w:spacing w:after="0" w:line="240" w:lineRule="auto"/>
              <w:ind w:left="708"/>
              <w:textAlignment w:val="baseline"/>
              <w:rPr>
                <w:rFonts w:asciiTheme="minorHAnsi" w:eastAsia="Times New Roman" w:hAnsiTheme="minorHAnsi" w:cstheme="minorHAnsi"/>
                <w:lang w:eastAsia="en-GB"/>
              </w:rPr>
            </w:pPr>
          </w:p>
          <w:p w14:paraId="20BF2207" w14:textId="2D439D56" w:rsidR="009E1AC0" w:rsidRPr="009E1AC0" w:rsidRDefault="006049C6"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 xml:space="preserve">5. Είναι ένα βήμα της διαδικασίας Επιχειρηματικής Ενοποίησης: </w:t>
            </w:r>
          </w:p>
          <w:p w14:paraId="5F8924BB"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p>
          <w:p w14:paraId="2B5310FF"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α.- Διεθνοποίηση</w:t>
            </w:r>
          </w:p>
          <w:p w14:paraId="2CBFD22A" w14:textId="77777777" w:rsidR="009E1AC0" w:rsidRPr="009E1AC0" w:rsidRDefault="009E1AC0" w:rsidP="009E1AC0">
            <w:pPr>
              <w:spacing w:after="0" w:line="240" w:lineRule="auto"/>
              <w:ind w:left="708"/>
              <w:textAlignment w:val="baseline"/>
              <w:rPr>
                <w:rFonts w:asciiTheme="minorHAnsi" w:eastAsia="Times New Roman" w:hAnsiTheme="minorHAnsi" w:cstheme="minorHAnsi"/>
                <w:lang w:eastAsia="en-GB"/>
              </w:rPr>
            </w:pPr>
            <w:r w:rsidRPr="009E1AC0">
              <w:rPr>
                <w:lang w:val="el" w:eastAsia="en-GB"/>
              </w:rPr>
              <w:t>β.- Δημιουργία ομάδας</w:t>
            </w:r>
          </w:p>
          <w:p w14:paraId="39BA785D" w14:textId="55EE72B1" w:rsidR="006049C6" w:rsidRPr="009E1AC0" w:rsidRDefault="009E1AC0" w:rsidP="009E1AC0">
            <w:pPr>
              <w:spacing w:after="0" w:line="240" w:lineRule="auto"/>
              <w:ind w:left="708"/>
              <w:textAlignment w:val="baseline"/>
              <w:rPr>
                <w:rFonts w:asciiTheme="minorHAnsi" w:eastAsia="Times New Roman" w:hAnsiTheme="minorHAnsi" w:cstheme="minorHAnsi"/>
                <w:b/>
                <w:bCs/>
                <w:lang w:eastAsia="en-GB"/>
              </w:rPr>
            </w:pPr>
            <w:r w:rsidRPr="009E1AC0">
              <w:rPr>
                <w:b/>
                <w:bCs/>
                <w:lang w:val="el" w:eastAsia="en-GB"/>
              </w:rPr>
              <w:t>γ.- Προγραμματισμός επιχειρησιακών πόρων</w:t>
            </w: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lastRenderedPageBreak/>
              <w:t>Πηγές (βίντεο, σύνδεσμος αναφοράς)</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Σχετικό υλικό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b/>
                <w:bCs/>
                <w:color w:val="FFFFFF" w:themeColor="background1"/>
                <w:lang w:val="el" w:eastAsia="en-GB"/>
              </w:rPr>
              <w:t>Σχετικά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0F479A15" w:rsidR="006049C6" w:rsidRPr="001B0D25" w:rsidRDefault="001B0D25">
            <w:pPr>
              <w:rPr>
                <w:rFonts w:asciiTheme="minorHAnsi" w:hAnsiTheme="minorHAnsi" w:cstheme="minorHAnsi"/>
                <w:color w:val="000000" w:themeColor="text1"/>
                <w:lang w:val="es-ES"/>
              </w:rPr>
            </w:pPr>
            <w:r w:rsidRPr="001B0D25">
              <w:rPr>
                <w:color w:val="000000" w:themeColor="text1"/>
                <w:lang w:val="el"/>
              </w:rPr>
              <w:t>ESMERALD_OMNICHANNEL_IWSv2.pptx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t>Βιβλιογραφία</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9AB21C" w14:textId="77777777" w:rsidR="00710FC1" w:rsidRPr="00817BFA" w:rsidRDefault="00710FC1" w:rsidP="00710FC1">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Shopify --- </w:t>
            </w:r>
            <w:hyperlink r:id="rId8" w:history="1">
              <w:r w:rsidRPr="00817BFA">
                <w:rPr>
                  <w:rStyle w:val="Hyperlink"/>
                  <w:rFonts w:asciiTheme="minorHAnsi" w:hAnsiTheme="minorHAnsi" w:cstheme="minorHAnsi"/>
                  <w:lang w:val="es-ES"/>
                </w:rPr>
                <w:t>https://www.shopify.com/enterprise/omni-channel-vs-multi-channel</w:t>
              </w:r>
            </w:hyperlink>
          </w:p>
          <w:p w14:paraId="32B65E83" w14:textId="77777777" w:rsidR="00710FC1" w:rsidRPr="00817BFA" w:rsidRDefault="00710FC1" w:rsidP="00710FC1">
            <w:pPr>
              <w:rPr>
                <w:rFonts w:asciiTheme="minorHAnsi" w:hAnsiTheme="minorHAnsi" w:cstheme="minorHAnsi"/>
                <w:color w:val="000000" w:themeColor="text1"/>
                <w:lang w:val="es-ES"/>
              </w:rPr>
            </w:pPr>
            <w:r w:rsidRPr="00817BFA">
              <w:rPr>
                <w:rFonts w:asciiTheme="minorHAnsi" w:hAnsiTheme="minorHAnsi" w:cstheme="minorHAnsi"/>
                <w:color w:val="000000" w:themeColor="text1"/>
                <w:lang w:val="es-ES"/>
              </w:rPr>
              <w:t xml:space="preserve">Salesforce --- </w:t>
            </w:r>
            <w:hyperlink r:id="rId9" w:history="1">
              <w:r w:rsidRPr="00817BFA">
                <w:rPr>
                  <w:rStyle w:val="Hyperlink"/>
                  <w:rFonts w:asciiTheme="minorHAnsi" w:hAnsiTheme="minorHAnsi" w:cstheme="minorHAnsi"/>
                  <w:lang w:val="es-ES"/>
                </w:rPr>
                <w:t>https://www.salesforce.com/eu/blog/2020/12/omnichannel-strategy-benefits.html#:~:text=An%20omnichannel%20strategy%20benefits%20businesses%20by%20providing%20them%20with%20a,and%20develop%20smarter%20replenishment%20practices.</w:t>
              </w:r>
            </w:hyperlink>
          </w:p>
          <w:p w14:paraId="195492BF" w14:textId="77777777" w:rsidR="00710FC1" w:rsidRPr="00817BFA" w:rsidRDefault="00710FC1" w:rsidP="00710FC1">
            <w:pPr>
              <w:rPr>
                <w:rFonts w:asciiTheme="minorHAnsi" w:hAnsiTheme="minorHAnsi" w:cstheme="minorHAnsi"/>
                <w:color w:val="000000" w:themeColor="text1"/>
                <w:lang w:val="es-ES"/>
              </w:rPr>
            </w:pPr>
          </w:p>
          <w:p w14:paraId="15D24FED" w14:textId="5C8E63FB" w:rsidR="006049C6" w:rsidRPr="005C508D" w:rsidRDefault="00710FC1" w:rsidP="00710FC1">
            <w:pPr>
              <w:rPr>
                <w:rFonts w:asciiTheme="minorHAnsi" w:hAnsiTheme="minorHAnsi" w:cstheme="minorHAnsi"/>
                <w:color w:val="1F3864" w:themeColor="accent1" w:themeShade="80"/>
                <w:lang w:val="es-ES"/>
              </w:rPr>
            </w:pPr>
            <w:proofErr w:type="spellStart"/>
            <w:r w:rsidRPr="00817BFA">
              <w:rPr>
                <w:rFonts w:asciiTheme="minorHAnsi" w:hAnsiTheme="minorHAnsi" w:cstheme="minorHAnsi"/>
                <w:color w:val="000000" w:themeColor="text1"/>
                <w:lang w:val="es-ES"/>
              </w:rPr>
              <w:t>Silverearth</w:t>
            </w:r>
            <w:proofErr w:type="spellEnd"/>
            <w:r w:rsidRPr="00817BFA">
              <w:rPr>
                <w:rFonts w:asciiTheme="minorHAnsi" w:hAnsiTheme="minorHAnsi" w:cstheme="minorHAnsi"/>
                <w:color w:val="000000" w:themeColor="text1"/>
                <w:lang w:val="es-ES"/>
              </w:rPr>
              <w:t xml:space="preserve"> --- </w:t>
            </w:r>
            <w:hyperlink r:id="rId10" w:history="1">
              <w:r w:rsidRPr="00817BFA">
                <w:rPr>
                  <w:rStyle w:val="Hyperlink"/>
                  <w:rFonts w:asciiTheme="minorHAnsi" w:hAnsiTheme="minorHAnsi" w:cstheme="minorHAnsi"/>
                  <w:lang w:val="es-ES"/>
                </w:rPr>
                <w:t>https://www.silverearth.com/5-challenges-of-omnichannel-business</w:t>
              </w:r>
            </w:hyperlink>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b/>
                <w:bCs/>
                <w:color w:val="FFFFFF" w:themeColor="background1"/>
                <w:lang w:val="el" w:eastAsia="en-GB"/>
              </w:rPr>
              <w:lastRenderedPageBreak/>
              <w:t>Παρέχεται από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96A1EDF" w:rsidR="006049C6" w:rsidRPr="00EE1335" w:rsidRDefault="00710FC1">
            <w:pPr>
              <w:rPr>
                <w:rFonts w:asciiTheme="minorHAnsi" w:hAnsiTheme="minorHAnsi" w:cstheme="minorHAnsi"/>
                <w:color w:val="000000" w:themeColor="text1"/>
                <w:lang w:val="es-ES"/>
              </w:rPr>
            </w:pPr>
            <w:r w:rsidRPr="00710FC1">
              <w:rPr>
                <w:color w:val="000000" w:themeColor="text1"/>
                <w:lang w:val="el"/>
              </w:rPr>
              <w:t xml:space="preserve">Internet Web </w:t>
            </w:r>
            <w:proofErr w:type="spellStart"/>
            <w:r w:rsidRPr="00710FC1">
              <w:rPr>
                <w:color w:val="000000" w:themeColor="text1"/>
                <w:lang w:val="el"/>
              </w:rPr>
              <w:t>Solutions</w:t>
            </w:r>
            <w:proofErr w:type="spellEnd"/>
          </w:p>
        </w:tc>
      </w:tr>
    </w:tbl>
    <w:p w14:paraId="40FDB52D" w14:textId="77777777" w:rsidR="006049C6" w:rsidRPr="005C508D" w:rsidRDefault="006049C6" w:rsidP="006049C6">
      <w:pPr>
        <w:rPr>
          <w:rFonts w:asciiTheme="minorHAnsi" w:hAnsiTheme="minorHAnsi" w:cstheme="minorHAnsi"/>
          <w:lang w:val="es-ES"/>
        </w:rPr>
      </w:pPr>
    </w:p>
    <w:p w14:paraId="4CFF9A88" w14:textId="1CBB583C" w:rsidR="00A4144D" w:rsidRPr="005C508D" w:rsidRDefault="00000000" w:rsidP="005D3D97">
      <w:pPr>
        <w:rPr>
          <w:rFonts w:asciiTheme="minorHAnsi" w:hAnsiTheme="minorHAnsi" w:cstheme="minorHAnsi"/>
        </w:rPr>
      </w:pPr>
    </w:p>
    <w:sectPr w:rsidR="00A4144D" w:rsidRPr="005C508D" w:rsidSect="006049C6">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85120" w14:textId="77777777" w:rsidR="0027210C" w:rsidRDefault="0027210C" w:rsidP="005D3D97">
      <w:pPr>
        <w:spacing w:after="0" w:line="240" w:lineRule="auto"/>
      </w:pPr>
      <w:r>
        <w:rPr>
          <w:lang w:val="el"/>
        </w:rPr>
        <w:separator/>
      </w:r>
    </w:p>
  </w:endnote>
  <w:endnote w:type="continuationSeparator" w:id="0">
    <w:p w14:paraId="006A6291" w14:textId="77777777" w:rsidR="0027210C" w:rsidRDefault="0027210C" w:rsidP="005D3D97">
      <w:pPr>
        <w:spacing w:after="0" w:line="240" w:lineRule="auto"/>
      </w:pPr>
      <w:r>
        <w:rPr>
          <w:lang w:val="e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287A" w14:textId="77777777" w:rsidR="00710FC1" w:rsidRDefault="0071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l"/>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427A3B"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427A3B" w:rsidRDefault="00505F0E" w:rsidP="00505F0E">
                    <w:pPr>
                      <w:rPr>
                        <w:rFonts w:ascii="YADLjI9qxTA 0" w:hAnsi="YADLjI9qxTA 0"/>
                        <w:color w:val="FFFFFF" w:themeColor="background1"/>
                        <w:kern w:val="24"/>
                        <w:sz w:val="18"/>
                        <w:szCs w:val="16"/>
                        <w:lang w:val="el-GR"/>
                      </w:rPr>
                    </w:pPr>
                    <w:r w:rsidRPr="00505F0E">
                      <w:rPr>
                        <w:color w:val="FFFFFF" w:themeColor="background1"/>
                        <w:kern w:val="24"/>
                        <w:sz w:val="18"/>
                        <w:szCs w:val="16"/>
                        <w:lang w:val="el"/>
                      </w:rPr>
                      <w:t xml:space="preserve">Με την υποστήριξη του Προγράμματος </w:t>
                    </w:r>
                    <w:proofErr w:type="spellStart"/>
                    <w:r w:rsidRPr="00505F0E">
                      <w:rPr>
                        <w:color w:val="FFFFFF" w:themeColor="background1"/>
                        <w:kern w:val="24"/>
                        <w:sz w:val="18"/>
                        <w:szCs w:val="16"/>
                        <w:lang w:val="el"/>
                      </w:rPr>
                      <w:t>Erasmus</w:t>
                    </w:r>
                    <w:proofErr w:type="spellEnd"/>
                    <w:r w:rsidRPr="00505F0E">
                      <w:rPr>
                        <w:color w:val="FFFFFF" w:themeColor="background1"/>
                        <w:kern w:val="24"/>
                        <w:sz w:val="18"/>
                        <w:szCs w:val="16"/>
                        <w:lang w:val="el"/>
                      </w:rPr>
                      <w:t xml:space="preserve">+ πρόγραμμα της Ευρωπαϊκής Ένωσης. Το παρόν έγγραφο και το περιεχόμενό του Αντανακλά τις απόψεις μόνο των συντακτών και η Επιτροπή δεν μπορεί να θεωρηθεί υπεύθυνη για οποιαδήποτε χρήση των πληροφοριών που περιέχονται σε αυτήν. </w:t>
                    </w:r>
                  </w:p>
                </w:txbxContent>
              </v:textbox>
              <w10:wrap anchorx="page"/>
            </v:shape>
          </w:pict>
        </mc:Fallback>
      </mc:AlternateContent>
    </w:r>
    <w:r w:rsidRPr="00505F0E">
      <w:rPr>
        <w:noProof/>
        <w:lang w:val="el"/>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l"/>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AA92" w14:textId="77777777" w:rsidR="00710FC1" w:rsidRDefault="0071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AB68" w14:textId="77777777" w:rsidR="0027210C" w:rsidRDefault="0027210C" w:rsidP="005D3D97">
      <w:pPr>
        <w:spacing w:after="0" w:line="240" w:lineRule="auto"/>
      </w:pPr>
      <w:r>
        <w:rPr>
          <w:lang w:val="el"/>
        </w:rPr>
        <w:separator/>
      </w:r>
    </w:p>
  </w:footnote>
  <w:footnote w:type="continuationSeparator" w:id="0">
    <w:p w14:paraId="1735377C" w14:textId="77777777" w:rsidR="0027210C" w:rsidRDefault="0027210C" w:rsidP="005D3D97">
      <w:pPr>
        <w:spacing w:after="0" w:line="240" w:lineRule="auto"/>
      </w:pPr>
      <w:r>
        <w:rPr>
          <w:lang w:val="e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7D0D" w14:textId="77777777" w:rsidR="00710FC1" w:rsidRDefault="00710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0B93" w14:textId="77777777" w:rsidR="00710FC1" w:rsidRPr="00AD6204" w:rsidRDefault="005D3D97" w:rsidP="00710FC1">
    <w:pPr>
      <w:jc w:val="center"/>
      <w:rPr>
        <w:b/>
        <w:bCs/>
        <w:noProof/>
        <w:lang w:val="el"/>
      </w:rPr>
    </w:pPr>
    <w:r w:rsidRPr="000C31A9">
      <w:rPr>
        <w:b/>
        <w:bCs/>
        <w:noProof/>
        <w:lang w:val="el"/>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0FC1" w:rsidRPr="00710FC1">
      <w:rPr>
        <w:b/>
        <w:bCs/>
        <w:lang w:val="el-GR"/>
      </w:rPr>
      <w:t xml:space="preserve"> </w:t>
    </w:r>
    <w:bookmarkStart w:id="0" w:name="_Hlk118487444"/>
    <w:r w:rsidR="00710FC1" w:rsidRPr="00AD6204">
      <w:rPr>
        <w:b/>
        <w:bCs/>
        <w:noProof/>
        <w:lang w:val="el"/>
      </w:rPr>
      <w:t>Ενίσχυση της ανθεκτικότητας των ΜΜΕ</w:t>
    </w:r>
  </w:p>
  <w:p w14:paraId="60EFE496" w14:textId="1ECB8CCE" w:rsidR="00710FC1" w:rsidRPr="00AF6304" w:rsidRDefault="00710FC1" w:rsidP="00710FC1">
    <w:pPr>
      <w:jc w:val="center"/>
      <w:rPr>
        <w:rFonts w:ascii="Bahnschrift SemiLight" w:hAnsi="Bahnschrift SemiLight"/>
        <w:b/>
        <w:bCs/>
        <w:lang w:val="el-GR"/>
      </w:rPr>
    </w:pPr>
    <w:r w:rsidRPr="00AD6204">
      <w:rPr>
        <w:b/>
        <w:bCs/>
        <w:noProof/>
        <w:lang w:val="el"/>
      </w:rPr>
      <w:t>μετά τα περιοριστικά μέτρα (lock-down</w:t>
    </w:r>
    <w:bookmarkEnd w:id="0"/>
    <w:r w:rsidR="00F93190">
      <w:rPr>
        <w:b/>
        <w:bCs/>
        <w:noProof/>
        <w:lang w:val="el"/>
      </w:rPr>
      <w:t>)</w:t>
    </w:r>
  </w:p>
  <w:p w14:paraId="635AD7A1" w14:textId="3097AAD9" w:rsidR="005D3D97" w:rsidRDefault="005D3D97" w:rsidP="00710FC1">
    <w:pPr>
      <w:jc w:val="center"/>
    </w:pPr>
    <w:r w:rsidRPr="000C31A9">
      <w:rPr>
        <w:b/>
        <w:bCs/>
        <w:color w:val="0CA373"/>
        <w:lang w:val="el"/>
      </w:rPr>
      <w:t>www.esmerald.eu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82C3" w14:textId="77777777" w:rsidR="00710FC1" w:rsidRDefault="0071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16cid:durableId="760296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9798615">
    <w:abstractNumId w:val="1"/>
  </w:num>
  <w:num w:numId="3" w16cid:durableId="779029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03A4E"/>
    <w:rsid w:val="000C31A9"/>
    <w:rsid w:val="000F62D0"/>
    <w:rsid w:val="00176774"/>
    <w:rsid w:val="001B0D25"/>
    <w:rsid w:val="001B7C17"/>
    <w:rsid w:val="0026414E"/>
    <w:rsid w:val="0027210C"/>
    <w:rsid w:val="002A018E"/>
    <w:rsid w:val="00354B2F"/>
    <w:rsid w:val="00427A3B"/>
    <w:rsid w:val="00505F0E"/>
    <w:rsid w:val="005519F6"/>
    <w:rsid w:val="005C508D"/>
    <w:rsid w:val="005C764F"/>
    <w:rsid w:val="005D3D97"/>
    <w:rsid w:val="005F5748"/>
    <w:rsid w:val="006049C6"/>
    <w:rsid w:val="006975E6"/>
    <w:rsid w:val="006F1399"/>
    <w:rsid w:val="007056E7"/>
    <w:rsid w:val="00710FC1"/>
    <w:rsid w:val="00766537"/>
    <w:rsid w:val="00774CCE"/>
    <w:rsid w:val="00817BFA"/>
    <w:rsid w:val="00876FE1"/>
    <w:rsid w:val="008E2D90"/>
    <w:rsid w:val="009621A6"/>
    <w:rsid w:val="009D3E93"/>
    <w:rsid w:val="009E1AC0"/>
    <w:rsid w:val="00A43ECC"/>
    <w:rsid w:val="00B206EA"/>
    <w:rsid w:val="00C17ABD"/>
    <w:rsid w:val="00CE4C23"/>
    <w:rsid w:val="00D87393"/>
    <w:rsid w:val="00EE1335"/>
    <w:rsid w:val="00F93190"/>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styleId="UnresolvedMention">
    <w:name w:val="Unresolved Mention"/>
    <w:basedOn w:val="DefaultParagraphFont"/>
    <w:uiPriority w:val="99"/>
    <w:semiHidden/>
    <w:unhideWhenUsed/>
    <w:rsid w:val="00817BFA"/>
    <w:rPr>
      <w:color w:val="605E5C"/>
      <w:shd w:val="clear" w:color="auto" w:fill="E1DFDD"/>
    </w:rPr>
  </w:style>
  <w:style w:type="character" w:styleId="PlaceholderText">
    <w:name w:val="Placeholder Text"/>
    <w:basedOn w:val="DefaultParagraphFont"/>
    <w:uiPriority w:val="99"/>
    <w:semiHidden/>
    <w:rsid w:val="00427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pify.com/enterprise/omni-channel-vs-multi-channe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ilverearth.com/5-challenges-of-omnichannel-business" TargetMode="External"/><Relationship Id="rId4" Type="http://schemas.openxmlformats.org/officeDocument/2006/relationships/settings" Target="settings.xml"/><Relationship Id="rId9" Type="http://schemas.openxmlformats.org/officeDocument/2006/relationships/hyperlink" Target="https://www.salesforce.com/eu/blog/2020/12/omnichannel-strategy-benefits.html%23:~:text=An%20omnichannel%20strategy%20benefits%20businesses%20by%20providing%20them%20with%20a,and%20develop%20smarter%20replenishment%20practic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66328-2E36-4A05-9DCE-9BE4A949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462</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Anastasios Diamantidis</cp:lastModifiedBy>
  <cp:revision>3</cp:revision>
  <dcterms:created xsi:type="dcterms:W3CDTF">2021-06-30T06:50:00Z</dcterms:created>
  <dcterms:modified xsi:type="dcterms:W3CDTF">2022-11-04T18:50:00Z</dcterms:modified>
  <cp:category/>
</cp:coreProperties>
</file>