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49FB71D9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proofErr w:type="spellStart"/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Predložak</w:t>
      </w:r>
      <w:proofErr w:type="spellEnd"/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 xml:space="preserve"> </w:t>
      </w:r>
      <w:proofErr w:type="spellStart"/>
      <w:r w:rsidR="00CD56F4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edukacije</w:t>
      </w:r>
      <w:proofErr w:type="spellEnd"/>
      <w:r w:rsidR="00CD56F4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/</w:t>
      </w:r>
      <w:proofErr w:type="spellStart"/>
      <w:r w:rsidR="00CD56F4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treninga</w:t>
      </w:r>
      <w:proofErr w:type="spellEnd"/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491A646A" w:rsidR="006049C6" w:rsidRPr="005C508D" w:rsidRDefault="00CD56F4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Naziv</w:t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669B4E64" w:rsidR="006049C6" w:rsidRPr="000E010B" w:rsidRDefault="000E010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010B">
              <w:rPr>
                <w:rFonts w:asciiTheme="minorHAnsi" w:hAnsiTheme="minorHAnsi" w:cstheme="minorHAnsi"/>
                <w:color w:val="000000" w:themeColor="text1"/>
              </w:rPr>
              <w:t>Povećanje razine sigurnosti online transakcija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Ključne riječi (meta oznaka)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5617D5C0" w:rsidR="006049C6" w:rsidRPr="00543A8A" w:rsidRDefault="008425C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43A8A">
              <w:rPr>
                <w:rFonts w:asciiTheme="minorHAnsi" w:hAnsiTheme="minorHAnsi" w:cstheme="minorHAnsi"/>
                <w:color w:val="000000" w:themeColor="text1"/>
              </w:rPr>
              <w:t>Cyberprijetnje, Spam, Sigurnosne postavke, Sigurnosni protokoli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Jezik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76D15070" w:rsidR="006049C6" w:rsidRPr="00AD3E7D" w:rsidRDefault="00CD56F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Hrvatski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6B7015B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Ciljevi / Ciljevi / Ishodi učenja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DACD8" w14:textId="77777777" w:rsidR="006049C6" w:rsidRPr="00CB06C1" w:rsidRDefault="00AD3E7D" w:rsidP="00AD3E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B06C1">
              <w:rPr>
                <w:rFonts w:asciiTheme="minorHAnsi" w:hAnsiTheme="minorHAnsi" w:cstheme="minorHAnsi"/>
                <w:color w:val="000000" w:themeColor="text1"/>
              </w:rPr>
              <w:t>Znajte na što trebate paziti prilikom obavljanja online transakcija</w:t>
            </w:r>
          </w:p>
          <w:p w14:paraId="675C2A9A" w14:textId="77777777" w:rsidR="00AD3E7D" w:rsidRPr="00CB06C1" w:rsidRDefault="00AD3E7D" w:rsidP="00AD3E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B06C1">
              <w:rPr>
                <w:rFonts w:asciiTheme="minorHAnsi" w:hAnsiTheme="minorHAnsi" w:cstheme="minorHAnsi"/>
                <w:color w:val="000000" w:themeColor="text1"/>
              </w:rPr>
              <w:t>Saznajte kako ojačati sigurnost naših stranica</w:t>
            </w:r>
          </w:p>
          <w:p w14:paraId="6B6C0E06" w14:textId="77777777" w:rsidR="00AD3E7D" w:rsidRPr="00CB06C1" w:rsidRDefault="00AD3E7D" w:rsidP="00AD3E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B06C1">
              <w:rPr>
                <w:rFonts w:asciiTheme="minorHAnsi" w:hAnsiTheme="minorHAnsi" w:cstheme="minorHAnsi"/>
                <w:color w:val="000000" w:themeColor="text1"/>
              </w:rPr>
              <w:t>Shvatite osnovne prednosti online transakcija</w:t>
            </w:r>
          </w:p>
          <w:p w14:paraId="3E0ADB40" w14:textId="475BA1A4" w:rsidR="00AD3E7D" w:rsidRPr="00AD3E7D" w:rsidRDefault="00AD3E7D" w:rsidP="00AD3E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CB06C1">
              <w:rPr>
                <w:rFonts w:asciiTheme="minorHAnsi" w:hAnsiTheme="minorHAnsi" w:cstheme="minorHAnsi"/>
                <w:color w:val="000000" w:themeColor="text1"/>
              </w:rPr>
              <w:t>Prepozna</w:t>
            </w:r>
            <w:r w:rsidR="00CD56F4">
              <w:rPr>
                <w:rFonts w:asciiTheme="minorHAnsi" w:hAnsiTheme="minorHAnsi" w:cstheme="minorHAnsi"/>
                <w:color w:val="000000" w:themeColor="text1"/>
              </w:rPr>
              <w:t>jte</w:t>
            </w:r>
            <w:r w:rsidRPr="00CB06C1">
              <w:rPr>
                <w:rFonts w:asciiTheme="minorHAnsi" w:hAnsiTheme="minorHAnsi" w:cstheme="minorHAnsi"/>
                <w:color w:val="000000" w:themeColor="text1"/>
              </w:rPr>
              <w:t xml:space="preserve"> glavne nedostatke online transakcija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Područje treninga: (odaberite jedno)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Digitalni marketing / Cyber-sigurnost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30F641E2" w:rsidR="006049C6" w:rsidRPr="005C508D" w:rsidRDefault="00641200" w:rsidP="006412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E-trgovina / Financiranje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Digitalno blagostanje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Pametan rad / Digitalni nomadi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Opis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AC1F7" w14:textId="77777777" w:rsidR="0013442F" w:rsidRPr="0013442F" w:rsidRDefault="0013442F" w:rsidP="0013442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3442F">
              <w:rPr>
                <w:rFonts w:asciiTheme="minorHAnsi" w:eastAsia="Times New Roman" w:hAnsiTheme="minorHAnsi" w:cstheme="minorHAnsi"/>
                <w:lang w:eastAsia="en-GB"/>
              </w:rPr>
              <w:t>Online transakcije su u porastu. One sve više postaju dio naših života, do te mjere da se danas sve što zamislimo može kupiti online.</w:t>
            </w:r>
          </w:p>
          <w:p w14:paraId="647FCB10" w14:textId="77777777" w:rsidR="0013442F" w:rsidRPr="0013442F" w:rsidRDefault="0013442F" w:rsidP="0013442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A0579CB" w14:textId="159E16B5" w:rsidR="006049C6" w:rsidRPr="005C508D" w:rsidRDefault="0013442F" w:rsidP="0013442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13442F">
              <w:rPr>
                <w:rFonts w:asciiTheme="minorHAnsi" w:eastAsia="Times New Roman" w:hAnsiTheme="minorHAnsi" w:cstheme="minorHAnsi"/>
                <w:lang w:val="it-IT" w:eastAsia="en-GB"/>
              </w:rPr>
              <w:t>Unatoč tome što u prosjeku obavljaju nekoliko transakcija tjedno, prosječni korisnici možda ne znaju vitalne informacije o tome kako zaštititi svoju sigurnost prilikom kupnje ili prodaje na mreži i držati se podalje od svih vrsta kibernetičkih prijetnji kao što su prijevara identiteta, krađa ili zlonamjerni softver.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Sadržaj raspoređen u 3 razine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0B2A7" w14:textId="21378FF3" w:rsidR="0013442F" w:rsidRPr="0013442F" w:rsidRDefault="0013442F" w:rsidP="001344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3442F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POVEĆANJE RAZINE SIGURNOSTI ONLINE TRANSAKCIJA</w:t>
            </w:r>
          </w:p>
          <w:p w14:paraId="44137DE6" w14:textId="74E8D38E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1.1 Što treba i što ne treba raditi u online transakcijama</w:t>
            </w:r>
          </w:p>
          <w:p w14:paraId="3AD1BF31" w14:textId="682FC47A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>1.1.1 Područja rizika</w:t>
            </w:r>
          </w:p>
          <w:p w14:paraId="1BA07E17" w14:textId="65B8BCC1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>1.1.2 Online sigurnosne postavke</w:t>
            </w:r>
          </w:p>
          <w:p w14:paraId="7711F02D" w14:textId="5864D627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>1.1.3 Prednosti i nedostaci</w:t>
            </w:r>
          </w:p>
          <w:p w14:paraId="0637D48E" w14:textId="77777777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14DDC6" w14:textId="77777777" w:rsidR="006049C6" w:rsidRPr="005C508D" w:rsidRDefault="006049C6" w:rsidP="0013442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Samoevaluacija (upiti i odgovori s više izbora)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653186BF" w14:textId="05BFB1BE" w:rsidR="003C376E" w:rsidRPr="003C376E" w:rsidRDefault="006049C6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  <w:t>1.</w:t>
            </w:r>
            <w:r w:rsidR="003C376E" w:rsidRPr="003C376E">
              <w:rPr>
                <w:b/>
                <w:bCs/>
                <w:color w:val="000000" w:themeColor="text1"/>
              </w:rPr>
              <w:t xml:space="preserve"> </w:t>
            </w:r>
            <w:r w:rsidR="003C376E" w:rsidRPr="003C376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  <w:t>Što znači "s" u "https"?</w:t>
            </w:r>
          </w:p>
          <w:p w14:paraId="380B3CC5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227189A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 xml:space="preserve">a.- </w:t>
            </w:r>
            <w:r w:rsidRPr="003C376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Sigurno</w:t>
            </w:r>
          </w:p>
          <w:p w14:paraId="50E786EA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>b.- Sigurnost</w:t>
            </w:r>
          </w:p>
          <w:p w14:paraId="049852C2" w14:textId="0816CFF4" w:rsidR="006049C6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>c.- Pridržava se</w:t>
            </w:r>
          </w:p>
          <w:p w14:paraId="6E347012" w14:textId="77777777" w:rsidR="003C376E" w:rsidRPr="005C508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5C3422" w14:textId="660FD2CC" w:rsidR="003C376E" w:rsidRPr="00A923ED" w:rsidRDefault="006049C6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A923E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  <w:t>2. Dovoljno visoka stopa lažnih transakcija rezultirat će kod kartičnih subjekata:</w:t>
            </w:r>
          </w:p>
          <w:p w14:paraId="3148B406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D2F2272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>a.- Čestitamo našim naporima</w:t>
            </w:r>
          </w:p>
          <w:p w14:paraId="24494835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b.- Blokiranje njihovih transakcija na našoj stranici</w:t>
            </w:r>
          </w:p>
          <w:p w14:paraId="62AB9AAA" w14:textId="28945BA7" w:rsidR="006049C6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>c.- Prisilna promjena domene za našu stranicu</w:t>
            </w:r>
          </w:p>
          <w:p w14:paraId="5E8CEA43" w14:textId="77777777" w:rsidR="003C376E" w:rsidRPr="005C508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61DBEB5" w14:textId="340C9F99" w:rsidR="003C376E" w:rsidRPr="003C376E" w:rsidRDefault="006049C6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  <w:t>3.</w:t>
            </w:r>
            <w:r w:rsidR="003C376E" w:rsidRPr="003C376E">
              <w:rPr>
                <w:b/>
                <w:bCs/>
                <w:color w:val="000000" w:themeColor="text1"/>
              </w:rPr>
              <w:t xml:space="preserve"> </w:t>
            </w:r>
            <w:r w:rsidR="003C376E" w:rsidRPr="003C376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  <w:t>Trebaju li podaci biti šifrirani?</w:t>
            </w:r>
          </w:p>
          <w:p w14:paraId="6E2A1D0A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0A8E910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a.- Da</w:t>
            </w:r>
          </w:p>
          <w:p w14:paraId="4B020253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>b.- Ne</w:t>
            </w:r>
          </w:p>
          <w:p w14:paraId="6C5962D1" w14:textId="3863863C" w:rsidR="006049C6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>c.- Samo kada radite na javnom mjestu</w:t>
            </w:r>
          </w:p>
          <w:p w14:paraId="5D217394" w14:textId="77777777" w:rsidR="003C376E" w:rsidRPr="005C508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23D35D4" w14:textId="128A058D" w:rsidR="003C376E" w:rsidRPr="003C376E" w:rsidRDefault="006049C6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4.</w:t>
            </w:r>
            <w:r w:rsidR="003C376E" w:rsidRPr="003C376E">
              <w:rPr>
                <w:b/>
                <w:bCs/>
              </w:rPr>
              <w:t xml:space="preserve"> </w:t>
            </w:r>
            <w:r w:rsidR="003C376E" w:rsidRPr="003C376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Koji od sljedećih naziva </w:t>
            </w:r>
            <w:r w:rsidR="00CD56F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označava </w:t>
            </w:r>
            <w:r w:rsidR="003C376E" w:rsidRPr="003C376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sigurnosn</w:t>
            </w:r>
            <w:r w:rsidR="00CD56F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e</w:t>
            </w:r>
            <w:r w:rsidR="003C376E" w:rsidRPr="003C376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protokol</w:t>
            </w:r>
            <w:r w:rsidR="00CD56F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e</w:t>
            </w:r>
            <w:r w:rsidR="003C376E" w:rsidRPr="003C376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?</w:t>
            </w:r>
          </w:p>
          <w:p w14:paraId="4146E03B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7150595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>a.- SSD i TPM</w:t>
            </w:r>
          </w:p>
          <w:p w14:paraId="5C841046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>b.- SMS i TNS</w:t>
            </w:r>
          </w:p>
          <w:p w14:paraId="3C30DDD1" w14:textId="398C2851" w:rsidR="006049C6" w:rsidRPr="00A923E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A923E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c.- SSL i TLS</w:t>
            </w:r>
          </w:p>
          <w:p w14:paraId="50F38078" w14:textId="77777777" w:rsidR="003C376E" w:rsidRPr="005C508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55491BD" w14:textId="4C2EC6C4" w:rsidR="003C376E" w:rsidRPr="003C376E" w:rsidRDefault="006049C6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5.</w:t>
            </w:r>
            <w:r w:rsidR="003C376E" w:rsidRPr="003C376E">
              <w:rPr>
                <w:b/>
                <w:bCs/>
              </w:rPr>
              <w:t xml:space="preserve"> </w:t>
            </w:r>
            <w:r w:rsidR="003C376E" w:rsidRPr="003C376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Što je prijateljska prijevara?</w:t>
            </w:r>
          </w:p>
          <w:p w14:paraId="7867F140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69F0C2D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>a.- Prijevara dolazi od prijatelja</w:t>
            </w:r>
          </w:p>
          <w:p w14:paraId="5EA2F1CA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rFonts w:asciiTheme="minorHAnsi" w:eastAsia="Times New Roman" w:hAnsiTheme="minorHAnsi" w:cstheme="minorHAnsi"/>
                <w:lang w:eastAsia="en-GB"/>
              </w:rPr>
              <w:t>b.- Dobronamjerna prijevara</w:t>
            </w:r>
          </w:p>
          <w:p w14:paraId="39BA785D" w14:textId="2C22AB40" w:rsidR="006049C6" w:rsidRPr="00A923E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A923E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c.- Transakcije koje su kasnije osporavali nezadovoljni kupci</w:t>
            </w:r>
          </w:p>
          <w:p w14:paraId="41A84EAB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Resursi (video zapisi, referentna veza)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Povezani materijal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Povezani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39F4B2EA" w:rsidR="006049C6" w:rsidRPr="005C508D" w:rsidRDefault="00FD395D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FD395D">
              <w:rPr>
                <w:rFonts w:asciiTheme="minorHAnsi" w:hAnsiTheme="minorHAnsi" w:cstheme="minorHAnsi"/>
                <w:color w:val="000000" w:themeColor="text1"/>
                <w:lang w:val="es-ES"/>
              </w:rPr>
              <w:t>ESMERALD_ONLINE_TRANSACTIONS_IWS</w:t>
            </w:r>
          </w:p>
        </w:tc>
      </w:tr>
      <w:tr w:rsidR="006049C6" w:rsidRPr="005C50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Bibliografija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BBFD0" w14:textId="41648622" w:rsidR="00E37CE2" w:rsidRPr="00E37CE2" w:rsidRDefault="00E37CE2" w:rsidP="00E37C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 w:rsidRPr="00E37CE2">
              <w:rPr>
                <w:rFonts w:asciiTheme="minorHAnsi" w:hAnsiTheme="minorHAnsi" w:cstheme="minorHAnsi"/>
                <w:color w:val="000000" w:themeColor="text1"/>
                <w:lang w:val="es-ES"/>
              </w:rPr>
              <w:t>Safewise</w:t>
            </w:r>
            <w:proofErr w:type="spellEnd"/>
            <w:r w:rsidRPr="00E37CE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7" w:history="1">
              <w:r w:rsidRPr="00E37CE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https://www.safewise.com/online-security-faq/online-transaction-secure/</w:t>
              </w:r>
            </w:hyperlink>
          </w:p>
          <w:p w14:paraId="0DC905FD" w14:textId="180C7296" w:rsidR="00E37CE2" w:rsidRPr="00E37CE2" w:rsidRDefault="00E37CE2" w:rsidP="00E37C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E37CE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Seon.io --- </w:t>
            </w:r>
            <w:hyperlink r:id="rId8" w:history="1">
              <w:r w:rsidRPr="00E37CE2">
                <w:rPr>
                  <w:rStyle w:val="Hyperlink"/>
                  <w:rFonts w:asciiTheme="minorHAnsi" w:hAnsiTheme="minorHAnsi" w:cstheme="minorHAnsi"/>
                  <w:lang w:val="es-ES"/>
                </w:rPr>
                <w:t>https://seon.io/resources/which-online-payment-methods-have-the-highest-fraud-risk/</w:t>
              </w:r>
            </w:hyperlink>
          </w:p>
          <w:p w14:paraId="78AE427A" w14:textId="19A9F6F0" w:rsidR="00E37CE2" w:rsidRPr="00E37CE2" w:rsidRDefault="00E37CE2" w:rsidP="00E37C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E37CE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Avast --- </w:t>
            </w:r>
            <w:hyperlink r:id="rId9" w:history="1">
              <w:r w:rsidRPr="00E37CE2">
                <w:rPr>
                  <w:rStyle w:val="Hyperlink"/>
                  <w:rFonts w:asciiTheme="minorHAnsi" w:hAnsiTheme="minorHAnsi" w:cstheme="minorHAnsi"/>
                  <w:lang w:val="es-ES"/>
                </w:rPr>
                <w:t>https://blog.avast.com/secure-online-transactions-avast</w:t>
              </w:r>
            </w:hyperlink>
          </w:p>
          <w:p w14:paraId="3C728631" w14:textId="412BBCAA" w:rsidR="00E37CE2" w:rsidRPr="00E37CE2" w:rsidRDefault="00E37CE2" w:rsidP="00E37C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E37CE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2checkout --- </w:t>
            </w:r>
            <w:hyperlink r:id="rId10" w:history="1">
              <w:r w:rsidRPr="00E37CE2">
                <w:rPr>
                  <w:rStyle w:val="Hyperlink"/>
                  <w:rFonts w:asciiTheme="minorHAnsi" w:hAnsiTheme="minorHAnsi" w:cstheme="minorHAnsi"/>
                  <w:lang w:val="es-ES"/>
                </w:rPr>
                <w:t>https://blog.2checkout.com/advantages-and-challenges-of-accepting-payments-online/</w:t>
              </w:r>
            </w:hyperlink>
          </w:p>
          <w:p w14:paraId="15D24FED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Omogućio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32FAE604" w:rsidR="006049C6" w:rsidRPr="005C508D" w:rsidRDefault="00CD56F4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IWS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2E14F29" w:rsidR="00A4144D" w:rsidRPr="005C508D" w:rsidRDefault="00C80D56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3525" w14:textId="77777777" w:rsidR="00C80D56" w:rsidRDefault="00C80D56" w:rsidP="005D3D97">
      <w:pPr>
        <w:spacing w:after="0" w:line="240" w:lineRule="auto"/>
      </w:pPr>
      <w:r>
        <w:separator/>
      </w:r>
    </w:p>
  </w:endnote>
  <w:endnote w:type="continuationSeparator" w:id="0">
    <w:p w14:paraId="7346C37D" w14:textId="77777777" w:rsidR="00C80D56" w:rsidRDefault="00C80D56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</w:t>
                          </w:r>
                          <w:proofErr w:type="spell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of the European Union. This document and its contents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reflects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the views only of the authors, and the Commission cannot be held responsible for any use which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</w:t>
                    </w:r>
                    <w:proofErr w:type="spell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of the European Union. This document and its contents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reflects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the views only of the authors, and the Commission cannot be held responsible for any use which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B1ED" w14:textId="77777777" w:rsidR="00C80D56" w:rsidRDefault="00C80D56" w:rsidP="005D3D97">
      <w:pPr>
        <w:spacing w:after="0" w:line="240" w:lineRule="auto"/>
      </w:pPr>
      <w:r>
        <w:separator/>
      </w:r>
    </w:p>
  </w:footnote>
  <w:footnote w:type="continuationSeparator" w:id="0">
    <w:p w14:paraId="66D3DED4" w14:textId="77777777" w:rsidR="00C80D56" w:rsidRDefault="00C80D56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5C9ACD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 xml:space="preserve">Poboljšanje otpornosti malih i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srednjih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poduzeća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nakon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="00CD56F4">
      <w:rPr>
        <w:rFonts w:ascii="Bahnschrift SemiLight" w:hAnsi="Bahnschrift SemiLight" w:cs="Arial"/>
        <w:b/>
        <w:bCs/>
        <w:lang w:val="en-GB"/>
      </w:rPr>
      <w:t>lockdowna</w:t>
    </w:r>
    <w:proofErr w:type="spellEnd"/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B6D"/>
    <w:multiLevelType w:val="hybridMultilevel"/>
    <w:tmpl w:val="A9FCA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2712D"/>
    <w:multiLevelType w:val="hybridMultilevel"/>
    <w:tmpl w:val="3E5A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29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27531">
    <w:abstractNumId w:val="1"/>
  </w:num>
  <w:num w:numId="3" w16cid:durableId="836073036">
    <w:abstractNumId w:val="0"/>
  </w:num>
  <w:num w:numId="4" w16cid:durableId="181629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C31A9"/>
    <w:rsid w:val="000E010B"/>
    <w:rsid w:val="0013442F"/>
    <w:rsid w:val="002D319D"/>
    <w:rsid w:val="002E3D84"/>
    <w:rsid w:val="003C376E"/>
    <w:rsid w:val="00505F0E"/>
    <w:rsid w:val="00543A8A"/>
    <w:rsid w:val="005C508D"/>
    <w:rsid w:val="005D3D97"/>
    <w:rsid w:val="005F5748"/>
    <w:rsid w:val="006049C6"/>
    <w:rsid w:val="00641200"/>
    <w:rsid w:val="00643AC6"/>
    <w:rsid w:val="006975E6"/>
    <w:rsid w:val="006F1399"/>
    <w:rsid w:val="007056E7"/>
    <w:rsid w:val="00766537"/>
    <w:rsid w:val="00774CCE"/>
    <w:rsid w:val="008425CD"/>
    <w:rsid w:val="008E2D90"/>
    <w:rsid w:val="009621A6"/>
    <w:rsid w:val="009D3E93"/>
    <w:rsid w:val="00A43ECC"/>
    <w:rsid w:val="00A923ED"/>
    <w:rsid w:val="00AD3E7D"/>
    <w:rsid w:val="00C17ABD"/>
    <w:rsid w:val="00C80D56"/>
    <w:rsid w:val="00CB06C1"/>
    <w:rsid w:val="00CD56F4"/>
    <w:rsid w:val="00CE068D"/>
    <w:rsid w:val="00D87393"/>
    <w:rsid w:val="00E37CE2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on.io/resources/which-online-payment-methods-have-the-highest-fraud-ri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wise.com/online-security-faq/online-transaction-secur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log.2checkout.com/advantages-and-challenges-of-accepting-payments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avast.com/secure-online-transactions-avas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Korisnik</cp:lastModifiedBy>
  <cp:revision>2</cp:revision>
  <dcterms:created xsi:type="dcterms:W3CDTF">2022-11-06T14:10:00Z</dcterms:created>
  <dcterms:modified xsi:type="dcterms:W3CDTF">2022-11-06T14:10:00Z</dcterms:modified>
</cp:coreProperties>
</file>