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2D0059E3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75137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A07AE" w14:textId="409D589B" w:rsidR="0075137D" w:rsidRPr="0075137D" w:rsidRDefault="0075137D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75137D">
              <w:rPr>
                <w:color w:val="000000" w:themeColor="text1"/>
                <w:lang w:val="el"/>
              </w:rPr>
              <w:t>Net-iquette</w:t>
            </w:r>
            <w:proofErr w:type="spellEnd"/>
            <w:r w:rsidRPr="0075137D">
              <w:rPr>
                <w:color w:val="000000" w:themeColor="text1"/>
                <w:lang w:val="el"/>
              </w:rPr>
              <w:t xml:space="preserve"> σε επιχειρηματικά πλαίσια</w:t>
            </w:r>
          </w:p>
          <w:p w14:paraId="35D0CFF8" w14:textId="23F62EB1" w:rsidR="006049C6" w:rsidRPr="0075137D" w:rsidRDefault="006049C6" w:rsidP="005519F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B023DC0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Λέξεις-κλειδιά (</w:t>
            </w:r>
            <w:proofErr w:type="spellStart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μεταετικέτα</w:t>
            </w:r>
            <w:proofErr w:type="spellEnd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747BE933" w:rsidR="006049C6" w:rsidRPr="0026414E" w:rsidRDefault="0075137D" w:rsidP="007513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5137D">
              <w:rPr>
                <w:color w:val="000000" w:themeColor="text1"/>
                <w:lang w:val="el"/>
              </w:rPr>
              <w:t>Net-iquette</w:t>
            </w:r>
            <w:r w:rsidR="00CE4C23">
              <w:rPr>
                <w:color w:val="000000" w:themeColor="text1"/>
                <w:lang w:val="el"/>
              </w:rPr>
              <w:t xml:space="preserve">, </w:t>
            </w:r>
            <w:r>
              <w:rPr>
                <w:color w:val="000000" w:themeColor="text1"/>
                <w:lang w:val="el"/>
              </w:rPr>
              <w:t>αποτελεσματική επικοινωνία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22312148" w:rsidR="006049C6" w:rsidRPr="0026414E" w:rsidRDefault="002D6C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6C5B">
              <w:rPr>
                <w:color w:val="000000" w:themeColor="text1"/>
                <w:lang w:val="el"/>
              </w:rPr>
              <w:t>Ελληνικά</w:t>
            </w:r>
          </w:p>
        </w:tc>
      </w:tr>
      <w:tr w:rsidR="006049C6" w:rsidRPr="0075137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523C4703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Στόχοι / Διδάγματα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4958" w14:textId="77777777" w:rsidR="0075137D" w:rsidRPr="0075137D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color w:val="000000" w:themeColor="text1"/>
                <w:lang w:val="el"/>
              </w:rPr>
              <w:t>Κατανοήστε τη σημασία του netiquette</w:t>
            </w:r>
          </w:p>
          <w:p w14:paraId="25ACD9DF" w14:textId="708C970A" w:rsidR="0075137D" w:rsidRPr="002D6C5B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75137D">
              <w:rPr>
                <w:color w:val="000000" w:themeColor="text1"/>
                <w:lang w:val="el"/>
              </w:rPr>
              <w:t>Μάθετε πώς πρέπει να διευθύνετε μια επιχειρηματική επικοινωνία</w:t>
            </w:r>
          </w:p>
          <w:p w14:paraId="09C1EA8D" w14:textId="77777777" w:rsidR="0075137D" w:rsidRPr="002D6C5B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75137D">
              <w:rPr>
                <w:color w:val="000000" w:themeColor="text1"/>
                <w:lang w:val="el"/>
              </w:rPr>
              <w:t>Μάθετε περισσότερα σχετικά με τα διάφορα εργαλεία για διαδικτυακή επιχειρηματική επικοινωνία</w:t>
            </w:r>
          </w:p>
          <w:p w14:paraId="3E0ADB40" w14:textId="0F22A107" w:rsidR="0026414E" w:rsidRPr="002D6C5B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75137D">
              <w:rPr>
                <w:color w:val="000000" w:themeColor="text1"/>
                <w:lang w:val="el"/>
              </w:rPr>
              <w:t>Λάβετε υπόψη τα πιο συνηθισμένα λάθη στην ηλεκτρονική επιχειρηματική επικοινωνία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2D6C5B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C508D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2D6C5B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5CADCE5C" w:rsidR="006049C6" w:rsidRPr="005C508D" w:rsidRDefault="0075137D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75137D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6D7D0E09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 xml:space="preserve">Περιγραφή: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Pr="002D6C5B" w:rsidRDefault="00B25467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5A0579CB" w14:textId="54A35F0A" w:rsidR="00964839" w:rsidRPr="002D6C5B" w:rsidRDefault="00964839" w:rsidP="0096483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Η αποτελεσματική</w:t>
            </w:r>
            <w:r w:rsidRPr="00964839">
              <w:rPr>
                <w:lang w:val="el" w:eastAsia="en-GB"/>
              </w:rPr>
              <w:t xml:space="preserve"> διαδικτυακή επικοινωνία</w:t>
            </w:r>
            <w:r>
              <w:rPr>
                <w:lang w:val="el" w:eastAsia="en-GB"/>
              </w:rPr>
              <w:t xml:space="preserve"> είναι ζωτικής σημασίας για </w:t>
            </w:r>
            <w:r w:rsidRPr="00964839">
              <w:rPr>
                <w:lang w:val="el" w:eastAsia="en-GB"/>
              </w:rPr>
              <w:t>τις πραγματικές επιχειρηματικές δεσμεύσεις και σχέσεις</w:t>
            </w:r>
            <w:r>
              <w:rPr>
                <w:lang w:val="el" w:eastAsia="en-GB"/>
              </w:rPr>
              <w:t xml:space="preserve">. Στην ψηφιακή εποχή, οι επιχειρηματικοί φορείς θα πρέπει να κατέχουν όλα τα εργαλεία για διαδικτυακή επικοινωνία, όπως μηνύματα ηλεκτρονικού ταχυδρομείου, άμεσα μηνύματα, κοινωνικά μέσα και </w:t>
            </w:r>
            <w:proofErr w:type="spellStart"/>
            <w:r>
              <w:rPr>
                <w:lang w:val="el" w:eastAsia="en-GB"/>
              </w:rPr>
              <w:t>βιντεοκλήσεις</w:t>
            </w:r>
            <w:proofErr w:type="spellEnd"/>
            <w:r>
              <w:rPr>
                <w:lang w:val="el" w:eastAsia="en-GB"/>
              </w:rPr>
              <w:t>.</w:t>
            </w:r>
          </w:p>
        </w:tc>
      </w:tr>
      <w:tr w:rsidR="006049C6" w:rsidRPr="00BB3B9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EB3C" w14:textId="2B0E59B8" w:rsidR="00BB3B96" w:rsidRPr="00BB3B96" w:rsidRDefault="00BB3B96" w:rsidP="00BB3B9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BB3B96">
              <w:rPr>
                <w:b/>
                <w:bCs/>
                <w:lang w:val="el" w:eastAsia="en-GB"/>
              </w:rPr>
              <w:t>Net-iquette σε επιχειρηματικά πλαίσια</w:t>
            </w:r>
          </w:p>
          <w:p w14:paraId="2B59F25F" w14:textId="77777777" w:rsidR="005C764F" w:rsidRPr="005C764F" w:rsidRDefault="005C764F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0E7640F3" w:rsidR="006049C6" w:rsidRPr="002D6C5B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75137D">
              <w:rPr>
                <w:b/>
                <w:bCs/>
                <w:lang w:val="el" w:eastAsia="en-GB"/>
              </w:rPr>
              <w:t xml:space="preserve">1.1 </w:t>
            </w:r>
            <w:r w:rsidR="00BB3B96" w:rsidRPr="00BB3B96">
              <w:rPr>
                <w:b/>
                <w:bCs/>
                <w:lang w:val="el" w:eastAsia="en-GB"/>
              </w:rPr>
              <w:t xml:space="preserve">Βασικά στοιχεία της διαδικτυακής επικοινωνίας για </w:t>
            </w:r>
            <w:r w:rsidR="002D6C5B">
              <w:rPr>
                <w:b/>
                <w:bCs/>
                <w:lang w:val="en-US" w:eastAsia="en-GB"/>
              </w:rPr>
              <w:t>MME</w:t>
            </w:r>
          </w:p>
          <w:p w14:paraId="18546D48" w14:textId="77777777" w:rsidR="00BB3B96" w:rsidRPr="002D6C5B" w:rsidRDefault="006049C6" w:rsidP="00BB3B9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 xml:space="preserve">1.1.1 Τι είναι η </w:t>
            </w:r>
            <w:proofErr w:type="spellStart"/>
            <w:r w:rsidRPr="00BB3B96">
              <w:rPr>
                <w:lang w:val="el" w:eastAsia="en-GB"/>
              </w:rPr>
              <w:t>Netiquette</w:t>
            </w:r>
            <w:proofErr w:type="spellEnd"/>
          </w:p>
          <w:p w14:paraId="54C7EC64" w14:textId="77777777" w:rsidR="00BB3B96" w:rsidRPr="002D6C5B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>1.1.2 Μηνύματα ηλεκτρονικού ταχυδρομείου για επιχειρηματική επικοινωνία</w:t>
            </w:r>
          </w:p>
          <w:p w14:paraId="7711F02D" w14:textId="3457EE0D" w:rsidR="006049C6" w:rsidRPr="002D6C5B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75137D">
              <w:rPr>
                <w:lang w:val="el" w:eastAsia="en-GB"/>
              </w:rPr>
              <w:t xml:space="preserve">1.1.3 </w:t>
            </w:r>
            <w:r w:rsidR="00945ED9" w:rsidRPr="00BB3B96">
              <w:rPr>
                <w:lang w:val="el" w:eastAsia="en-GB"/>
              </w:rPr>
              <w:t>Ανταλλαγή άμεσων μηνυμάτων για επιχειρηματική επικοινωνία</w:t>
            </w:r>
          </w:p>
          <w:p w14:paraId="622B3D37" w14:textId="35C55C65" w:rsidR="005A27AC" w:rsidRPr="002D6C5B" w:rsidRDefault="005C764F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>1.1.4 Μέσα Κοινωνικής Δικτύωσης και Επιχειρηματική Επικοινωνία</w:t>
            </w:r>
          </w:p>
          <w:p w14:paraId="6F766588" w14:textId="0908371F" w:rsidR="00BB3B96" w:rsidRPr="00BB3B96" w:rsidRDefault="00BB3B9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lang w:val="el" w:eastAsia="en-GB"/>
              </w:rPr>
              <w:t>1.1.5</w:t>
            </w:r>
            <w:r w:rsidR="00945ED9" w:rsidRPr="00BB3B96">
              <w:rPr>
                <w:lang w:val="el" w:eastAsia="en-GB"/>
              </w:rPr>
              <w:t xml:space="preserve"> </w:t>
            </w:r>
            <w:proofErr w:type="spellStart"/>
            <w:r w:rsidR="00945ED9" w:rsidRPr="00BB3B96">
              <w:rPr>
                <w:lang w:val="el" w:eastAsia="en-GB"/>
              </w:rPr>
              <w:t>Βιντεοκλήσεις</w:t>
            </w:r>
            <w:proofErr w:type="spellEnd"/>
            <w:r w:rsidR="00945ED9" w:rsidRPr="00BB3B96">
              <w:rPr>
                <w:lang w:val="el" w:eastAsia="en-GB"/>
              </w:rPr>
              <w:t xml:space="preserve"> για επιχειρηματική επικοινωνία</w:t>
            </w:r>
          </w:p>
          <w:p w14:paraId="08D579B7" w14:textId="42B2D892" w:rsidR="005C764F" w:rsidRPr="00BB3B96" w:rsidRDefault="005C7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637D48E" w14:textId="77777777" w:rsidR="006049C6" w:rsidRPr="00BB3B96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914DDC6" w14:textId="77777777" w:rsidR="006049C6" w:rsidRPr="00BB3B96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9C6" w:rsidRPr="0075137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2D6C5B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 (ερωτήματα και απαντήσεις πολλαπλής επιλογής)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2D6C5B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792B8793" w14:textId="77777777" w:rsidR="005A27AC" w:rsidRPr="00167735" w:rsidRDefault="00945ED9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b/>
                <w:bCs/>
                <w:lang w:val="el" w:eastAsia="en-GB"/>
              </w:rPr>
              <w:t xml:space="preserve">Η </w:t>
            </w:r>
            <w:proofErr w:type="spellStart"/>
            <w:r w:rsidRPr="00167735">
              <w:rPr>
                <w:b/>
                <w:bCs/>
                <w:lang w:val="el" w:eastAsia="en-GB"/>
              </w:rPr>
              <w:t>Netiquette</w:t>
            </w:r>
            <w:proofErr w:type="spellEnd"/>
            <w:r w:rsidRPr="00167735">
              <w:rPr>
                <w:b/>
                <w:bCs/>
                <w:lang w:val="el" w:eastAsia="en-GB"/>
              </w:rPr>
              <w:t xml:space="preserve"> αποτελείται από:</w:t>
            </w:r>
          </w:p>
          <w:p w14:paraId="15FD02A6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b/>
                <w:bCs/>
                <w:lang w:val="el" w:eastAsia="en-GB"/>
              </w:rPr>
              <w:t>α.- Κανόνες / έθιμα για καλή διαδικτυακή επικοινωνία</w:t>
            </w:r>
          </w:p>
          <w:p w14:paraId="265B51AE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>β.- κανόνες/έθιμα μόνο για επαγγελματική επικοινωνία</w:t>
            </w:r>
          </w:p>
          <w:p w14:paraId="18593C9B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>γ.- οποιουσδήποτε κανόνες/έθιμα για γενική επικοινωνία</w:t>
            </w:r>
          </w:p>
          <w:p w14:paraId="249B81A4" w14:textId="77777777" w:rsidR="00167735" w:rsidRPr="002D6C5B" w:rsidRDefault="00167735" w:rsidP="0016773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6E822F21" w14:textId="52731939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el" w:eastAsia="en-GB"/>
              </w:rPr>
              <w:t>Τι μπορεί να θεωρηθεί αγενές στα μηνύματα ηλεκτρονικού ταχυδρομείου;</w:t>
            </w:r>
          </w:p>
          <w:p w14:paraId="135700EC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>α.- γράψτε μεγάλες προτάσεις</w:t>
            </w:r>
          </w:p>
          <w:p w14:paraId="0BCB21FF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>β.- Κοινή χρήση μεγάλων αρχείων</w:t>
            </w:r>
          </w:p>
          <w:p w14:paraId="0AE3F953" w14:textId="26C1D14F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el" w:eastAsia="en-GB"/>
              </w:rPr>
              <w:t>γ.- Χρήση όλων των κεφαλαίων</w:t>
            </w:r>
          </w:p>
          <w:p w14:paraId="748799B7" w14:textId="1120EF6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05DF797C" w14:textId="6BF2A181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>
              <w:rPr>
                <w:b/>
                <w:bCs/>
                <w:lang w:val="el" w:eastAsia="en-GB"/>
              </w:rPr>
              <w:t>Πώς μπορεί να είναι</w:t>
            </w:r>
            <w:r w:rsidRPr="00167735">
              <w:rPr>
                <w:b/>
                <w:bCs/>
                <w:lang w:val="el" w:eastAsia="en-GB"/>
              </w:rPr>
              <w:t xml:space="preserve"> αποτελεσματική η επικοινωνία άμεσων μηνυμάτων</w:t>
            </w:r>
            <w:r>
              <w:rPr>
                <w:lang w:val="el"/>
              </w:rPr>
              <w:t>;</w:t>
            </w:r>
          </w:p>
          <w:p w14:paraId="69444670" w14:textId="13EDD630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 xml:space="preserve">α.- </w:t>
            </w:r>
            <w:r>
              <w:rPr>
                <w:lang w:val="el" w:eastAsia="en-GB"/>
              </w:rPr>
              <w:t xml:space="preserve">με </w:t>
            </w:r>
            <w:r w:rsidRPr="00167735">
              <w:rPr>
                <w:lang w:val="el" w:eastAsia="en-GB"/>
              </w:rPr>
              <w:t>εκτεταμένη χρήση ακρωνυμίων</w:t>
            </w:r>
          </w:p>
          <w:p w14:paraId="7B4F1FF5" w14:textId="3F28A39E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b/>
                <w:bCs/>
                <w:lang w:val="el" w:eastAsia="en-GB"/>
              </w:rPr>
              <w:t>β.- συγγραφή</w:t>
            </w:r>
            <w:r w:rsidR="002D6C5B">
              <w:rPr>
                <w:b/>
                <w:bCs/>
                <w:lang w:val="en-US" w:eastAsia="en-GB"/>
              </w:rPr>
              <w:t xml:space="preserve"> </w:t>
            </w:r>
            <w:r>
              <w:rPr>
                <w:b/>
                <w:bCs/>
                <w:lang w:val="el" w:eastAsia="en-GB"/>
              </w:rPr>
              <w:t>σύντομων</w:t>
            </w:r>
            <w:r w:rsidRPr="00167735">
              <w:rPr>
                <w:b/>
                <w:bCs/>
                <w:lang w:val="el" w:eastAsia="en-GB"/>
              </w:rPr>
              <w:t xml:space="preserve"> κειμένων</w:t>
            </w:r>
          </w:p>
          <w:p w14:paraId="258A0213" w14:textId="5B1BF4F0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lang w:val="el" w:eastAsia="en-GB"/>
              </w:rPr>
              <w:t xml:space="preserve">γ.- </w:t>
            </w:r>
            <w:r>
              <w:rPr>
                <w:lang w:val="el" w:eastAsia="en-GB"/>
              </w:rPr>
              <w:t xml:space="preserve">με </w:t>
            </w:r>
            <w:r w:rsidRPr="00167735">
              <w:rPr>
                <w:lang w:val="el" w:eastAsia="en-GB"/>
              </w:rPr>
              <w:t xml:space="preserve">ευρεία χρήση </w:t>
            </w:r>
            <w:proofErr w:type="spellStart"/>
            <w:r w:rsidRPr="00167735">
              <w:rPr>
                <w:lang w:val="el" w:eastAsia="en-GB"/>
              </w:rPr>
              <w:t>emoji</w:t>
            </w:r>
            <w:proofErr w:type="spellEnd"/>
          </w:p>
          <w:p w14:paraId="2F703070" w14:textId="7DFF0E4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0546090" w14:textId="0A85D843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el" w:eastAsia="en-GB"/>
              </w:rPr>
              <w:t>Τα μέσα κοινωνικής δικτύωσης μπορούν να βοηθήσουν στα εξής:</w:t>
            </w:r>
          </w:p>
          <w:p w14:paraId="50094768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b/>
                <w:bCs/>
                <w:lang w:val="el" w:eastAsia="en-GB"/>
              </w:rPr>
              <w:t>α.- προσεγγίστε μεγάλο αριθμό ατόμων</w:t>
            </w:r>
          </w:p>
          <w:p w14:paraId="0F054B7C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>β.- διαφημίζετε προϊόντα / υπηρεσίες μόνο τοπικά</w:t>
            </w:r>
          </w:p>
          <w:p w14:paraId="592D7A56" w14:textId="4BDF592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167735">
              <w:rPr>
                <w:lang w:val="el" w:eastAsia="en-GB"/>
              </w:rPr>
              <w:t>γ.- διαφημίζουν προϊόντα/υπηρεσίες μόνο παγκοσμίως</w:t>
            </w:r>
          </w:p>
          <w:p w14:paraId="526B19DC" w14:textId="71CBF9B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61298060" w14:textId="3D64FB98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el" w:eastAsia="en-GB"/>
              </w:rPr>
              <w:t xml:space="preserve">Στις βιντεοκλήσεις θα πρέπει να αποφεύγετε τα εξής: </w:t>
            </w:r>
          </w:p>
          <w:p w14:paraId="102EE075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b/>
                <w:bCs/>
                <w:lang w:val="el" w:eastAsia="en-GB"/>
              </w:rPr>
              <w:t>α.- εκτέλεση άλλων εργασιών κατά τη διάρκεια μιας σύσκεψης</w:t>
            </w:r>
          </w:p>
          <w:p w14:paraId="7165AC76" w14:textId="1F48992A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>β.- φωτεινά ρούχα</w:t>
            </w:r>
          </w:p>
          <w:p w14:paraId="64962167" w14:textId="77777777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167735">
              <w:rPr>
                <w:lang w:val="el" w:eastAsia="en-GB"/>
              </w:rPr>
              <w:t>γ.- φοράτε γυαλιά</w:t>
            </w:r>
          </w:p>
          <w:p w14:paraId="41A84EAB" w14:textId="630F28CF" w:rsidR="00167735" w:rsidRPr="002D6C5B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8EFAC95" w:rsidR="006049C6" w:rsidRPr="001B0D25" w:rsidRDefault="001B0D2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color w:val="000000" w:themeColor="text1"/>
                <w:lang w:val="el"/>
              </w:rPr>
              <w:t>ESMERALD_</w:t>
            </w:r>
            <w:r w:rsidR="00167735">
              <w:rPr>
                <w:color w:val="000000" w:themeColor="text1"/>
                <w:lang w:val="el"/>
              </w:rPr>
              <w:t>NETIQUETTE_IHF</w:t>
            </w:r>
            <w:r w:rsidRPr="001B0D25">
              <w:rPr>
                <w:color w:val="000000" w:themeColor="text1"/>
                <w:lang w:val="el"/>
              </w:rPr>
              <w:t>.pptx</w:t>
            </w:r>
          </w:p>
        </w:tc>
      </w:tr>
      <w:tr w:rsidR="006049C6" w:rsidRPr="0075137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BC4F1" w14:textId="77777777" w:rsidR="00414754" w:rsidRPr="00414754" w:rsidRDefault="00414754" w:rsidP="00414754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Balinas</w:t>
            </w:r>
            <w:proofErr w:type="spellEnd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T. (2021). Social Media Etiquette for Business Owners: 25 Do’s &amp; Don’ts. </w:t>
            </w:r>
            <w:hyperlink r:id="rId8" w:history="1">
              <w:r w:rsidRPr="00414754">
                <w:rPr>
                  <w:rStyle w:val="Hyperlink"/>
                  <w:rFonts w:asciiTheme="minorHAnsi" w:hAnsiTheme="minorHAnsi" w:cstheme="minorHAnsi"/>
                </w:rPr>
                <w:t>https://www.outboundengine.com/blog/social-media-etiquette-for-business-25-dos-donts/</w:t>
              </w:r>
            </w:hyperlink>
            <w:r w:rsidRPr="0041475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8DF1DD4" w14:textId="77777777" w:rsidR="00414754" w:rsidRPr="00414754" w:rsidRDefault="00414754" w:rsidP="00414754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Conrad, A. (2021). The 7 Rules of Business Chat Etiquette Your Team is Definitely Breaking. </w:t>
            </w:r>
            <w:hyperlink r:id="rId9" w:history="1">
              <w:r w:rsidRPr="00414754">
                <w:rPr>
                  <w:rStyle w:val="Hyperlink"/>
                  <w:rFonts w:asciiTheme="minorHAnsi" w:hAnsiTheme="minorHAnsi" w:cstheme="minorHAnsi"/>
                </w:rPr>
                <w:t>https://www.getapp.com/resources/business-chat-etiquette-rules-for-small-business/</w:t>
              </w:r>
            </w:hyperlink>
            <w:r w:rsidRPr="0041475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2882469" w14:textId="77777777" w:rsidR="00414754" w:rsidRPr="00167735" w:rsidRDefault="00414754" w:rsidP="00414754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Guffey, M. (2008).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Essentials of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 (7th ed.). Mason, OH: Thomson/Wadsworth.</w:t>
            </w:r>
          </w:p>
          <w:p w14:paraId="2BE9942E" w14:textId="77777777" w:rsidR="00414754" w:rsidRPr="00167735" w:rsidRDefault="00414754" w:rsidP="00414754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Shea, V. (1994).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Netiquette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San Francisco, CA: Albion Books.</w:t>
            </w:r>
          </w:p>
          <w:p w14:paraId="3AE67FDA" w14:textId="77777777" w:rsidR="00414754" w:rsidRPr="00414754" w:rsidRDefault="00414754" w:rsidP="00414754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Smith, S. (2020). 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Netiquette: How to Master Online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  <w:hyperlink r:id="rId10" w:history="1">
              <w:r w:rsidRPr="00414754">
                <w:rPr>
                  <w:rStyle w:val="Hyperlink"/>
                  <w:rFonts w:asciiTheme="minorHAnsi" w:hAnsiTheme="minorHAnsi" w:cstheme="minorHAnsi"/>
                </w:rPr>
                <w:t>https://www.business-opportunities.biz/2020/05/05/netiquette-master-online-business-communication/</w:t>
              </w:r>
            </w:hyperlink>
          </w:p>
          <w:p w14:paraId="15D24FED" w14:textId="37C3B18D" w:rsidR="006049C6" w:rsidRPr="00167735" w:rsidRDefault="00414754" w:rsidP="00414754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Strawbridge, M. (2006).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Netiquette: Internet etiquette in the age of the blog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Software Reference.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Παρέχεται από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308CDF57" w:rsidR="006049C6" w:rsidRPr="00EE1335" w:rsidRDefault="00414754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414754">
              <w:rPr>
                <w:color w:val="000000" w:themeColor="text1"/>
                <w:lang w:val="el"/>
              </w:rPr>
              <w:t>IHF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D55508F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53E8" w14:textId="77777777" w:rsidR="00F86574" w:rsidRDefault="00F86574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0FA62AF3" w14:textId="77777777" w:rsidR="00F86574" w:rsidRDefault="00F86574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2D6C5B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</w:t>
                          </w:r>
                          <w:proofErr w:type="spell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>Erasmus</w:t>
                          </w:r>
                          <w:proofErr w:type="spell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2D6C5B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7212" w14:textId="77777777" w:rsidR="00F86574" w:rsidRDefault="00F86574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3B7B3264" w14:textId="77777777" w:rsidR="00F86574" w:rsidRDefault="00F86574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F134" w14:textId="77777777" w:rsidR="002D6C5B" w:rsidRPr="002D6C5B" w:rsidRDefault="005D3D97" w:rsidP="002D6C5B">
    <w:pPr>
      <w:jc w:val="center"/>
      <w:rPr>
        <w:b/>
        <w:bCs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C5B" w:rsidRPr="002D6C5B">
      <w:rPr>
        <w:b/>
        <w:bCs/>
        <w:lang w:val="el-GR"/>
      </w:rPr>
      <w:t xml:space="preserve"> </w:t>
    </w:r>
    <w:r w:rsidR="002D6C5B" w:rsidRPr="002D6C5B">
      <w:rPr>
        <w:b/>
        <w:bCs/>
        <w:lang w:val="el"/>
      </w:rPr>
      <w:t>Ενίσχυση της ανθεκτικότητας των ΜΜΕ</w:t>
    </w:r>
  </w:p>
  <w:p w14:paraId="19B5FC66" w14:textId="531E4223" w:rsidR="005D3D97" w:rsidRPr="002D6C5B" w:rsidRDefault="002D6C5B" w:rsidP="002D6C5B">
    <w:pPr>
      <w:jc w:val="center"/>
      <w:rPr>
        <w:rFonts w:ascii="Bahnschrift SemiLight" w:hAnsi="Bahnschrift SemiLight"/>
        <w:b/>
        <w:bCs/>
        <w:lang w:val="el-GR"/>
      </w:rPr>
    </w:pPr>
    <w:r w:rsidRPr="002D6C5B">
      <w:rPr>
        <w:b/>
        <w:bCs/>
        <w:lang w:val="el"/>
      </w:rPr>
      <w:t>μετά τα περιοριστικά μέτρα (</w:t>
    </w:r>
    <w:proofErr w:type="spellStart"/>
    <w:r w:rsidRPr="002D6C5B">
      <w:rPr>
        <w:b/>
        <w:bCs/>
        <w:lang w:val="el"/>
      </w:rPr>
      <w:t>lock-down</w:t>
    </w:r>
    <w:proofErr w:type="spellEnd"/>
    <w:r w:rsidRPr="002D6C5B">
      <w:rPr>
        <w:b/>
        <w:bCs/>
        <w:lang w:val="el"/>
      </w:rPr>
      <w:t>)</w:t>
    </w:r>
  </w:p>
  <w:p w14:paraId="635AD7A1" w14:textId="4ADC2848" w:rsidR="005D3D97" w:rsidRDefault="005D3D97" w:rsidP="002D6C5B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815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826924">
    <w:abstractNumId w:val="3"/>
  </w:num>
  <w:num w:numId="3" w16cid:durableId="604117543">
    <w:abstractNumId w:val="0"/>
  </w:num>
  <w:num w:numId="4" w16cid:durableId="766392333">
    <w:abstractNumId w:val="4"/>
  </w:num>
  <w:num w:numId="5" w16cid:durableId="2069959931">
    <w:abstractNumId w:val="8"/>
  </w:num>
  <w:num w:numId="6" w16cid:durableId="907882385">
    <w:abstractNumId w:val="6"/>
  </w:num>
  <w:num w:numId="7" w16cid:durableId="597251674">
    <w:abstractNumId w:val="1"/>
  </w:num>
  <w:num w:numId="8" w16cid:durableId="1226380678">
    <w:abstractNumId w:val="5"/>
  </w:num>
  <w:num w:numId="9" w16cid:durableId="1187906452">
    <w:abstractNumId w:val="7"/>
  </w:num>
  <w:num w:numId="10" w16cid:durableId="194538884">
    <w:abstractNumId w:val="2"/>
  </w:num>
  <w:num w:numId="11" w16cid:durableId="1731414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31A9"/>
    <w:rsid w:val="000F62D0"/>
    <w:rsid w:val="00167735"/>
    <w:rsid w:val="00176774"/>
    <w:rsid w:val="001B0D25"/>
    <w:rsid w:val="001B7C17"/>
    <w:rsid w:val="0026414E"/>
    <w:rsid w:val="002A018E"/>
    <w:rsid w:val="002D6C5B"/>
    <w:rsid w:val="00414754"/>
    <w:rsid w:val="00505F0E"/>
    <w:rsid w:val="005519F6"/>
    <w:rsid w:val="005A27AC"/>
    <w:rsid w:val="005C508D"/>
    <w:rsid w:val="005C764F"/>
    <w:rsid w:val="005D3D97"/>
    <w:rsid w:val="005F5748"/>
    <w:rsid w:val="006049C6"/>
    <w:rsid w:val="0061671A"/>
    <w:rsid w:val="006975E6"/>
    <w:rsid w:val="006F1399"/>
    <w:rsid w:val="007056E7"/>
    <w:rsid w:val="0075137D"/>
    <w:rsid w:val="00766537"/>
    <w:rsid w:val="00774CCE"/>
    <w:rsid w:val="00817BFA"/>
    <w:rsid w:val="00876FE1"/>
    <w:rsid w:val="008E2D90"/>
    <w:rsid w:val="00945ED9"/>
    <w:rsid w:val="009621A6"/>
    <w:rsid w:val="00964839"/>
    <w:rsid w:val="009D3E93"/>
    <w:rsid w:val="009E1AC0"/>
    <w:rsid w:val="00A43ECC"/>
    <w:rsid w:val="00B206EA"/>
    <w:rsid w:val="00B25467"/>
    <w:rsid w:val="00BB3B96"/>
    <w:rsid w:val="00C17ABD"/>
    <w:rsid w:val="00CE4C23"/>
    <w:rsid w:val="00D87393"/>
    <w:rsid w:val="00EE1335"/>
    <w:rsid w:val="00F86574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34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B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D6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boundengine.com/blog/social-media-etiquette-for-business-25-dos-do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usiness-opportunities.biz/2020/05/05/netiquette-master-online-business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app.com/resources/business-chat-etiquette-rules-for-small-busines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E0BE-FB41-45D2-883C-AFC8547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2</cp:revision>
  <dcterms:created xsi:type="dcterms:W3CDTF">2021-06-30T06:50:00Z</dcterms:created>
  <dcterms:modified xsi:type="dcterms:W3CDTF">2022-11-04T17:30:00Z</dcterms:modified>
  <cp:category/>
</cp:coreProperties>
</file>