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2C2F9AF8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55F4F644" w:rsidR="006049C6" w:rsidRPr="004B65A8" w:rsidRDefault="00CF4AA2" w:rsidP="00CF4AA2">
            <w:pPr>
              <w:tabs>
                <w:tab w:val="left" w:pos="1157"/>
              </w:tabs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4B65A8">
              <w:rPr>
                <w:b/>
                <w:bCs/>
                <w:color w:val="1F3864" w:themeColor="accent1" w:themeShade="80"/>
                <w:lang w:val="el"/>
              </w:rPr>
              <w:tab/>
            </w:r>
            <w:r w:rsidR="00DB0975" w:rsidRPr="004B65A8">
              <w:rPr>
                <w:b/>
                <w:bCs/>
                <w:color w:val="1F3864" w:themeColor="accent1" w:themeShade="80"/>
                <w:lang w:val="el"/>
              </w:rPr>
              <w:t>Φόρτος Εργασίας και Ποιότητα Οργάνωσης Εργασίας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36F8A0C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</w:t>
            </w:r>
            <w:proofErr w:type="spellStart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7201664C" w:rsidR="006049C6" w:rsidRPr="005C508D" w:rsidRDefault="00562681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el"/>
              </w:rPr>
              <w:t>Ψηφιακός</w:t>
            </w:r>
            <w:r w:rsidR="005C47DF">
              <w:rPr>
                <w:color w:val="1F3864" w:themeColor="accent1" w:themeShade="80"/>
                <w:lang w:val="el"/>
              </w:rPr>
              <w:t xml:space="preserve"> φόρτος εργασίας</w:t>
            </w:r>
            <w:r w:rsidR="00DB0975">
              <w:rPr>
                <w:color w:val="1F3864" w:themeColor="accent1" w:themeShade="80"/>
                <w:lang w:val="el"/>
              </w:rPr>
              <w:t>,</w:t>
            </w:r>
            <w:r>
              <w:rPr>
                <w:color w:val="1F3864" w:themeColor="accent1" w:themeShade="80"/>
                <w:lang w:val="el"/>
              </w:rPr>
              <w:t xml:space="preserve"> σ</w:t>
            </w:r>
            <w:r w:rsidRPr="00CF4AA2">
              <w:rPr>
                <w:color w:val="1F3864" w:themeColor="accent1" w:themeShade="80"/>
                <w:lang w:val="el"/>
              </w:rPr>
              <w:t>τρε</w:t>
            </w:r>
            <w:r>
              <w:rPr>
                <w:color w:val="1F3864" w:themeColor="accent1" w:themeShade="80"/>
                <w:lang w:val="el"/>
              </w:rPr>
              <w:t>ς</w:t>
            </w:r>
            <w:r w:rsidR="00DB0975" w:rsidRPr="00CF4AA2">
              <w:rPr>
                <w:color w:val="1F3864" w:themeColor="accent1" w:themeShade="80"/>
                <w:lang w:val="el"/>
              </w:rPr>
              <w:t xml:space="preserve"> και ανθεκτικότητα στο άγχος</w:t>
            </w:r>
            <w:r w:rsidR="00DB0975">
              <w:rPr>
                <w:color w:val="1F3864" w:themeColor="accent1" w:themeShade="80"/>
                <w:lang w:val="el"/>
              </w:rPr>
              <w:t>, ποιότητα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4EE2EA45" w:rsidR="006049C6" w:rsidRPr="005C508D" w:rsidRDefault="00562681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62681">
              <w:rPr>
                <w:color w:val="1F3864" w:themeColor="accent1" w:themeShade="80"/>
                <w:lang w:val="el"/>
              </w:rPr>
              <w:t>Ελληνικά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60A2E184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  Μαθησιακά αποτελέσματα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5EF2DF5D" w:rsidR="00DB0975" w:rsidRPr="00DB0975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el"/>
              </w:rPr>
              <w:t xml:space="preserve">Μέχρι το τέλος της συνεδρίας οι μαθητές θα </w:t>
            </w:r>
            <w:r w:rsidR="00562681" w:rsidRPr="00562681">
              <w:rPr>
                <w:color w:val="1F3864" w:themeColor="accent1" w:themeShade="80"/>
                <w:lang w:val="el"/>
              </w:rPr>
              <w:t xml:space="preserve">μπορούν </w:t>
            </w:r>
            <w:r w:rsidRPr="00DB0975">
              <w:rPr>
                <w:color w:val="1F3864" w:themeColor="accent1" w:themeShade="80"/>
                <w:lang w:val="el"/>
              </w:rPr>
              <w:t xml:space="preserve">να: </w:t>
            </w:r>
          </w:p>
          <w:p w14:paraId="6A08261F" w14:textId="1D40B3C1" w:rsidR="00DB0975" w:rsidRPr="00DB0975" w:rsidRDefault="00DB0975" w:rsidP="00A814EA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el"/>
              </w:rPr>
              <w:t xml:space="preserve">LO1: </w:t>
            </w:r>
            <w:r>
              <w:rPr>
                <w:color w:val="1F3864" w:themeColor="accent1" w:themeShade="80"/>
                <w:lang w:val="el"/>
              </w:rPr>
              <w:t>Ορίσ</w:t>
            </w:r>
            <w:r w:rsidR="00562681">
              <w:rPr>
                <w:color w:val="1F3864" w:themeColor="accent1" w:themeShade="80"/>
                <w:lang w:val="el"/>
              </w:rPr>
              <w:t>ουν</w:t>
            </w:r>
            <w:r>
              <w:rPr>
                <w:color w:val="1F3864" w:themeColor="accent1" w:themeShade="80"/>
                <w:lang w:val="el"/>
              </w:rPr>
              <w:t xml:space="preserve"> το θέμα της ψηφιακής εργασίας</w:t>
            </w:r>
            <w:r w:rsidR="00A814EA">
              <w:rPr>
                <w:color w:val="1F3864" w:themeColor="accent1" w:themeShade="80"/>
                <w:lang w:val="el"/>
              </w:rPr>
              <w:t xml:space="preserve"> και τους τύπους φόρτων εργασίας</w:t>
            </w:r>
            <w:r w:rsidRPr="00DB0975">
              <w:rPr>
                <w:color w:val="1F3864" w:themeColor="accent1" w:themeShade="80"/>
                <w:lang w:val="el"/>
              </w:rPr>
              <w:t>.</w:t>
            </w:r>
          </w:p>
          <w:p w14:paraId="55AB68E6" w14:textId="53285536" w:rsidR="00DB0975" w:rsidRPr="00DB0975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el"/>
              </w:rPr>
              <w:t>LO2: Απαντήσ</w:t>
            </w:r>
            <w:r w:rsidR="00562681">
              <w:rPr>
                <w:color w:val="1F3864" w:themeColor="accent1" w:themeShade="80"/>
                <w:lang w:val="el"/>
              </w:rPr>
              <w:t>ουν</w:t>
            </w:r>
            <w:r w:rsidRPr="00DB0975">
              <w:rPr>
                <w:color w:val="1F3864" w:themeColor="accent1" w:themeShade="80"/>
                <w:lang w:val="el"/>
              </w:rPr>
              <w:t xml:space="preserve"> στην ερώτηση, "Τι </w:t>
            </w:r>
            <w:r w:rsidR="00760BB1">
              <w:rPr>
                <w:color w:val="1F3864" w:themeColor="accent1" w:themeShade="80"/>
                <w:lang w:val="el"/>
              </w:rPr>
              <w:t>είναι το άγχος</w:t>
            </w:r>
            <w:r w:rsidRPr="00DB0975">
              <w:rPr>
                <w:color w:val="1F3864" w:themeColor="accent1" w:themeShade="80"/>
                <w:lang w:val="el"/>
              </w:rPr>
              <w:t>;</w:t>
            </w:r>
            <w:r>
              <w:rPr>
                <w:lang w:val="el"/>
              </w:rPr>
              <w:t xml:space="preserve"> </w:t>
            </w:r>
            <w:r w:rsidR="00760BB1">
              <w:rPr>
                <w:color w:val="1F3864" w:themeColor="accent1" w:themeShade="80"/>
                <w:lang w:val="el"/>
              </w:rPr>
              <w:t xml:space="preserve"> και τι μπορούμε να κάνουμε για να βελτιώσουμε την ανθεκτικότητά μας</w:t>
            </w:r>
          </w:p>
          <w:p w14:paraId="2BE42024" w14:textId="085AAE82" w:rsidR="00DB0975" w:rsidRPr="00DB0975" w:rsidRDefault="00DB0975" w:rsidP="0056268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el"/>
              </w:rPr>
              <w:t xml:space="preserve">LO3: </w:t>
            </w:r>
            <w:r w:rsidR="00760BB1" w:rsidRPr="00760BB1">
              <w:rPr>
                <w:color w:val="1F3864" w:themeColor="accent1" w:themeShade="80"/>
                <w:lang w:val="el"/>
              </w:rPr>
              <w:t>Ορίσ</w:t>
            </w:r>
            <w:r w:rsidR="00562681">
              <w:rPr>
                <w:color w:val="1F3864" w:themeColor="accent1" w:themeShade="80"/>
                <w:lang w:val="el"/>
              </w:rPr>
              <w:t>ουν</w:t>
            </w:r>
            <w:r w:rsidR="00760BB1" w:rsidRPr="00760BB1">
              <w:rPr>
                <w:color w:val="1F3864" w:themeColor="accent1" w:themeShade="80"/>
                <w:lang w:val="el"/>
              </w:rPr>
              <w:t xml:space="preserve"> το </w:t>
            </w:r>
            <w:r w:rsidR="00562681" w:rsidRPr="00760BB1">
              <w:rPr>
                <w:color w:val="1F3864" w:themeColor="accent1" w:themeShade="80"/>
                <w:lang w:val="el"/>
              </w:rPr>
              <w:t>θέμα</w:t>
            </w:r>
            <w:r w:rsidR="00562681">
              <w:rPr>
                <w:color w:val="1F3864" w:themeColor="accent1" w:themeShade="80"/>
                <w:lang w:val="el"/>
              </w:rPr>
              <w:t xml:space="preserve"> της</w:t>
            </w:r>
            <w:r w:rsidR="00760BB1">
              <w:rPr>
                <w:color w:val="1F3864" w:themeColor="accent1" w:themeShade="80"/>
                <w:lang w:val="el"/>
              </w:rPr>
              <w:t xml:space="preserve"> </w:t>
            </w:r>
            <w:r w:rsidR="00A17E0A">
              <w:rPr>
                <w:color w:val="1F3864" w:themeColor="accent1" w:themeShade="80"/>
                <w:lang w:val="el"/>
              </w:rPr>
              <w:t xml:space="preserve"> ποιότητας και </w:t>
            </w:r>
            <w:r>
              <w:rPr>
                <w:lang w:val="el"/>
              </w:rPr>
              <w:t xml:space="preserve"> της </w:t>
            </w:r>
            <w:r w:rsidR="00760BB1">
              <w:rPr>
                <w:color w:val="1F3864" w:themeColor="accent1" w:themeShade="80"/>
                <w:lang w:val="el"/>
              </w:rPr>
              <w:t>ψηφιακής οργάνωσης</w:t>
            </w:r>
            <w:r w:rsidRPr="00DB0975">
              <w:rPr>
                <w:color w:val="1F3864" w:themeColor="accent1" w:themeShade="80"/>
                <w:lang w:val="el"/>
              </w:rPr>
              <w:t>.</w:t>
            </w:r>
          </w:p>
          <w:p w14:paraId="3E0ADB40" w14:textId="6EAA9045" w:rsidR="006049C6" w:rsidRPr="005C508D" w:rsidRDefault="00DB0975" w:rsidP="00A17E0A">
            <w:pPr>
              <w:spacing w:line="240" w:lineRule="auto"/>
              <w:ind w:left="1111" w:hanging="40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el"/>
              </w:rPr>
              <w:t>LO4: Καταγράψ</w:t>
            </w:r>
            <w:r w:rsidR="00562681">
              <w:rPr>
                <w:color w:val="1F3864" w:themeColor="accent1" w:themeShade="80"/>
                <w:lang w:val="el"/>
              </w:rPr>
              <w:t>ουν</w:t>
            </w:r>
            <w:r w:rsidRPr="00DB0975">
              <w:rPr>
                <w:color w:val="1F3864" w:themeColor="accent1" w:themeShade="80"/>
                <w:lang w:val="el"/>
              </w:rPr>
              <w:t xml:space="preserve"> και εξηγήσ</w:t>
            </w:r>
            <w:r w:rsidR="00562681">
              <w:rPr>
                <w:color w:val="1F3864" w:themeColor="accent1" w:themeShade="80"/>
                <w:lang w:val="el"/>
              </w:rPr>
              <w:t>ουν</w:t>
            </w:r>
            <w:r w:rsidRPr="00DB0975">
              <w:rPr>
                <w:color w:val="1F3864" w:themeColor="accent1" w:themeShade="80"/>
                <w:lang w:val="el"/>
              </w:rPr>
              <w:t xml:space="preserve"> τρόπους για να </w:t>
            </w:r>
            <w:r w:rsidR="00CC2455">
              <w:rPr>
                <w:color w:val="1F3864" w:themeColor="accent1" w:themeShade="80"/>
                <w:lang w:val="el"/>
              </w:rPr>
              <w:t>βρουν</w:t>
            </w:r>
            <w:r w:rsidR="00562681">
              <w:rPr>
                <w:color w:val="1F3864" w:themeColor="accent1" w:themeShade="80"/>
                <w:lang w:val="el"/>
              </w:rPr>
              <w:t xml:space="preserve"> </w:t>
            </w:r>
            <w:r w:rsidR="00A17E0A">
              <w:rPr>
                <w:color w:val="1F3864" w:themeColor="accent1" w:themeShade="80"/>
                <w:lang w:val="el"/>
              </w:rPr>
              <w:t>έναν ψηφιακό οργανισμό εστιασμένο στην ποιότητα</w:t>
            </w:r>
            <w:r w:rsidRPr="00DB0975">
              <w:rPr>
                <w:color w:val="1F3864" w:themeColor="accent1" w:themeShade="80"/>
                <w:lang w:val="el"/>
              </w:rPr>
              <w:t>.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9A738C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9A738C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F45CB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FFEA8BB" w:rsidR="006049C6" w:rsidRPr="005C508D" w:rsidRDefault="002F45CB" w:rsidP="002F45C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5C508D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Περιγραφή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69D97195" w:rsidR="006049C6" w:rsidRPr="005C508D" w:rsidRDefault="004B65A8" w:rsidP="004B65A8">
            <w:pPr>
              <w:pStyle w:val="ListParagraph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b/>
                <w:bCs/>
                <w:lang w:val="el" w:eastAsia="en-GB"/>
              </w:rPr>
              <w:t xml:space="preserve">Αυτή η συνεδρία επικεντρώνεται στην </w:t>
            </w:r>
            <w:r w:rsidR="009E31E0">
              <w:rPr>
                <w:b/>
                <w:bCs/>
                <w:lang w:val="el" w:eastAsia="en-GB"/>
              </w:rPr>
              <w:t>κατανόηση των</w:t>
            </w:r>
            <w:r w:rsidR="00562681">
              <w:rPr>
                <w:b/>
                <w:bCs/>
                <w:lang w:val="el" w:eastAsia="en-GB"/>
              </w:rPr>
              <w:t xml:space="preserve"> </w:t>
            </w:r>
            <w:r w:rsidR="009E31E0">
              <w:rPr>
                <w:b/>
                <w:bCs/>
                <w:lang w:val="el" w:eastAsia="en-GB"/>
              </w:rPr>
              <w:t>μαθητών με την έννοια του ψηφιακού φόρτου εργασίας</w:t>
            </w:r>
            <w:r w:rsidR="00C67D32">
              <w:rPr>
                <w:b/>
                <w:bCs/>
                <w:lang w:val="el" w:eastAsia="en-GB"/>
              </w:rPr>
              <w:t>. Αναλύονται τα είδη και τα χαρακτηριστικά του ψηφιακού φόρτου εργασίας καθώς και τα θέματα του στρες και του άγχους</w:t>
            </w:r>
            <w:r w:rsidR="00E52AA0">
              <w:rPr>
                <w:b/>
                <w:bCs/>
                <w:lang w:val="el" w:eastAsia="en-GB"/>
              </w:rPr>
              <w:t>. Επίσης, παρέχονται συμβουλές για τη βελτίωση της ανθεκτικότητας στο στρες και το άγχος. Τέλος, όσον αφορά τον τρόπο οικοδόμησης ενός ποιοτικά εστιασμένου ψηφιακού οργανισμού, αναπτύσσονται οι κρίσιμοι πυλώνες.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4B8EC9CA" w:rsidR="006049C6" w:rsidRPr="005C508D" w:rsidRDefault="00562681" w:rsidP="008111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b/>
                <w:bCs/>
                <w:lang w:val="el" w:eastAsia="en-GB"/>
              </w:rPr>
              <w:t>Τίτλος</w:t>
            </w:r>
            <w:r w:rsidR="006049C6" w:rsidRPr="005C508D">
              <w:rPr>
                <w:b/>
                <w:bCs/>
                <w:lang w:val="el" w:eastAsia="en-GB"/>
              </w:rPr>
              <w:t xml:space="preserve"> ενότητας: </w:t>
            </w:r>
            <w:r w:rsidR="004B65A8" w:rsidRPr="004B65A8">
              <w:rPr>
                <w:b/>
                <w:bCs/>
                <w:lang w:val="el" w:eastAsia="en-GB"/>
              </w:rPr>
              <w:t>Ψηφιακή Ευεξία</w:t>
            </w:r>
          </w:p>
          <w:p w14:paraId="5082C6DA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2080971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el" w:eastAsia="en-GB"/>
              </w:rPr>
              <w:t xml:space="preserve">1.1 </w:t>
            </w:r>
            <w:r w:rsidR="00562681" w:rsidRPr="00562681">
              <w:rPr>
                <w:b/>
                <w:bCs/>
                <w:lang w:val="el" w:eastAsia="en-GB"/>
              </w:rPr>
              <w:t>Τίτλος μαθήματος</w:t>
            </w:r>
            <w:r w:rsidRPr="005C508D">
              <w:rPr>
                <w:b/>
                <w:bCs/>
                <w:lang w:val="el" w:eastAsia="en-GB"/>
              </w:rPr>
              <w:t xml:space="preserve">: </w:t>
            </w:r>
            <w:r w:rsidR="004B65A8" w:rsidRPr="004B65A8">
              <w:rPr>
                <w:b/>
                <w:bCs/>
                <w:lang w:val="el" w:eastAsia="en-GB"/>
              </w:rPr>
              <w:t>Φόρτος εργασίας και ποιότητα οργάνωσης της εργασίας</w:t>
            </w:r>
          </w:p>
          <w:p w14:paraId="3AD1BF31" w14:textId="50FA3C86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1.1.1 </w:t>
            </w:r>
            <w:r w:rsidR="004B65A8" w:rsidRPr="004B65A8">
              <w:rPr>
                <w:lang w:val="el" w:eastAsia="en-GB"/>
              </w:rPr>
              <w:t>Ορισμός ψηφιακού φόρτου εργασίας</w:t>
            </w:r>
          </w:p>
          <w:p w14:paraId="1BA07E17" w14:textId="430ABF59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1.1.2 </w:t>
            </w:r>
            <w:r w:rsidR="004B65A8" w:rsidRPr="004B65A8">
              <w:rPr>
                <w:lang w:val="el" w:eastAsia="en-GB"/>
              </w:rPr>
              <w:t>Τύποι φόρτων εργασίας</w:t>
            </w:r>
          </w:p>
          <w:p w14:paraId="0637D48E" w14:textId="7777777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E1F5C6" w14:textId="2DBFF6FC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b/>
                <w:bCs/>
                <w:lang w:val="el" w:eastAsia="en-GB"/>
              </w:rPr>
              <w:lastRenderedPageBreak/>
              <w:t xml:space="preserve">1.2 </w:t>
            </w:r>
            <w:r w:rsidR="00562681" w:rsidRPr="00562681">
              <w:rPr>
                <w:b/>
                <w:bCs/>
                <w:lang w:val="el" w:eastAsia="en-GB"/>
              </w:rPr>
              <w:t>Τίτλος μαθήματος</w:t>
            </w:r>
            <w:r w:rsidRPr="005C508D">
              <w:rPr>
                <w:b/>
                <w:bCs/>
                <w:lang w:val="el" w:eastAsia="en-GB"/>
              </w:rPr>
              <w:t xml:space="preserve">: </w:t>
            </w:r>
            <w:r w:rsidR="0056514B" w:rsidRPr="0056514B">
              <w:rPr>
                <w:b/>
                <w:bCs/>
                <w:lang w:val="el" w:eastAsia="en-GB"/>
              </w:rPr>
              <w:t>Ανθεκτικότητα στο στρες και το άγχος</w:t>
            </w:r>
          </w:p>
          <w:p w14:paraId="459E6A85" w14:textId="1D65589F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1.2.1 </w:t>
            </w:r>
            <w:r w:rsidR="0056514B" w:rsidRPr="0056514B">
              <w:rPr>
                <w:lang w:val="el" w:eastAsia="en-GB"/>
              </w:rPr>
              <w:t xml:space="preserve">Ορισμός </w:t>
            </w:r>
            <w:r w:rsidR="00562681">
              <w:rPr>
                <w:lang w:val="el" w:eastAsia="en-GB"/>
              </w:rPr>
              <w:t>στρες</w:t>
            </w:r>
          </w:p>
          <w:p w14:paraId="696955FE" w14:textId="2C9EC819" w:rsidR="006049C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el" w:eastAsia="en-GB"/>
              </w:rPr>
              <w:t xml:space="preserve">1.2.2 </w:t>
            </w:r>
            <w:r w:rsidR="0056514B" w:rsidRPr="0056514B">
              <w:rPr>
                <w:lang w:val="el" w:eastAsia="en-GB"/>
              </w:rPr>
              <w:t>Ορισμός άγχους</w:t>
            </w:r>
          </w:p>
          <w:p w14:paraId="14A029C6" w14:textId="626F2D5D" w:rsidR="00D45B98" w:rsidRDefault="00D45B9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t xml:space="preserve">1.2.3 </w:t>
            </w:r>
            <w:r w:rsidRPr="00D45B98">
              <w:rPr>
                <w:lang w:val="el" w:eastAsia="en-GB"/>
              </w:rPr>
              <w:t>Βελτίωση της ανθεκτικότητάς σας στο στρες και το άγχος</w:t>
            </w:r>
          </w:p>
          <w:p w14:paraId="47B95EB2" w14:textId="77777777" w:rsidR="0056514B" w:rsidRPr="005C508D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BDBAC6" w14:textId="5405878E" w:rsidR="0056514B" w:rsidRPr="005C508D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b/>
                <w:bCs/>
                <w:lang w:val="el" w:eastAsia="en-GB"/>
              </w:rPr>
              <w:t>1.3</w:t>
            </w:r>
            <w:r w:rsidRPr="005C508D">
              <w:rPr>
                <w:b/>
                <w:bCs/>
                <w:lang w:val="el" w:eastAsia="en-GB"/>
              </w:rPr>
              <w:t xml:space="preserve"> </w:t>
            </w:r>
            <w:r w:rsidRPr="0056514B">
              <w:rPr>
                <w:b/>
                <w:bCs/>
                <w:lang w:val="el" w:eastAsia="en-GB"/>
              </w:rPr>
              <w:t>Δημιουργία ενός ψηφιακού οργανισμού εστιασμένου στην ποιότητα</w:t>
            </w:r>
          </w:p>
          <w:p w14:paraId="46B33212" w14:textId="732E2A79" w:rsidR="0056514B" w:rsidRPr="005C508D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 w:eastAsia="en-GB"/>
              </w:rPr>
              <w:t>1.3.1</w:t>
            </w:r>
            <w:r>
              <w:rPr>
                <w:lang w:val="el"/>
              </w:rPr>
              <w:t xml:space="preserve"> </w:t>
            </w:r>
            <w:r w:rsidRPr="0056514B">
              <w:rPr>
                <w:lang w:val="el" w:eastAsia="en-GB"/>
              </w:rPr>
              <w:t>Ορισμός ποιότητας</w:t>
            </w:r>
            <w:r>
              <w:rPr>
                <w:lang w:val="el" w:eastAsia="en-GB"/>
              </w:rPr>
              <w:t xml:space="preserve"> και ψηφιακής οργάνωσης</w:t>
            </w:r>
          </w:p>
          <w:p w14:paraId="0914DDC6" w14:textId="4D2066A2" w:rsidR="006049C6" w:rsidRPr="005C508D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  <w:r w:rsidRPr="005C508D">
              <w:rPr>
                <w:lang w:val="el" w:eastAsia="en-GB"/>
              </w:rPr>
              <w:t xml:space="preserve">1.3.2 </w:t>
            </w:r>
            <w:r>
              <w:rPr>
                <w:lang w:val="el" w:eastAsia="en-GB"/>
              </w:rPr>
              <w:t xml:space="preserve">Πυλώνες ενός ποιοτικά εστιασμένου </w:t>
            </w:r>
            <w:r w:rsidRPr="0056514B">
              <w:rPr>
                <w:lang w:val="el" w:eastAsia="en-GB"/>
              </w:rPr>
              <w:t>ψηφιακού οργανισμού</w:t>
            </w: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9A738C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9A738C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049852C2" w14:textId="6C741616" w:rsidR="006049C6" w:rsidRPr="00867016" w:rsidRDefault="00562681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lang w:val="el"/>
              </w:rPr>
              <w:t xml:space="preserve">Ο </w:t>
            </w:r>
            <w:r w:rsidR="00B54EBC" w:rsidRPr="00867016">
              <w:rPr>
                <w:lang w:val="el" w:eastAsia="en-GB"/>
              </w:rPr>
              <w:t>φόρτος εργασίας:</w:t>
            </w:r>
          </w:p>
          <w:p w14:paraId="034BC457" w14:textId="431C00BE" w:rsidR="00B54EBC" w:rsidRPr="009A738C" w:rsidRDefault="00B54EBC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867016">
              <w:rPr>
                <w:b/>
                <w:bCs/>
                <w:lang w:val="el" w:eastAsia="en-GB"/>
              </w:rPr>
              <w:t>αφορά τη συγκέντρωση στοιχείων για τη λήψη δεδομένων, την ανακάλυψη του τι σημαίνει κάτι ή την ανάπτυξη κάτι.</w:t>
            </w:r>
          </w:p>
          <w:p w14:paraId="23B0940F" w14:textId="45D3AB2F" w:rsidR="00B54EBC" w:rsidRPr="009A738C" w:rsidRDefault="00B54EBC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αφορά την εύρεση στοιχείων για τη λήψη δεδομένων.</w:t>
            </w:r>
          </w:p>
          <w:p w14:paraId="5F980071" w14:textId="05B903C2" w:rsidR="00B54EBC" w:rsidRPr="00867016" w:rsidRDefault="00B54EBC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67016">
              <w:rPr>
                <w:lang w:val="el" w:eastAsia="en-GB"/>
              </w:rPr>
              <w:t>αφορά την ασφάλεια.</w:t>
            </w:r>
          </w:p>
          <w:p w14:paraId="645AF9CC" w14:textId="000713BA" w:rsidR="00B54EBC" w:rsidRPr="009A738C" w:rsidRDefault="00B54EBC" w:rsidP="00FB3FB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αφορά την απόδοση των εργαζομένων.</w:t>
            </w:r>
          </w:p>
          <w:p w14:paraId="62AB9AAA" w14:textId="343146C0" w:rsidR="006049C6" w:rsidRPr="00867016" w:rsidRDefault="00B54EBC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67016">
              <w:rPr>
                <w:lang w:val="el" w:eastAsia="en-GB"/>
              </w:rPr>
              <w:t>Πίεση:</w:t>
            </w:r>
          </w:p>
          <w:p w14:paraId="19E9AA27" w14:textId="6C8CF702" w:rsidR="00B54EBC" w:rsidRPr="009A738C" w:rsidRDefault="00B54EBC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867016">
              <w:rPr>
                <w:b/>
                <w:bCs/>
                <w:lang w:val="el" w:eastAsia="en-GB"/>
              </w:rPr>
              <w:t>είναι μια φυσική αίσθηση ότι δεν είναι σε θέση να αντεπεξέλθει σε συγκεκριμένες απαιτήσεις και γεγονότα.</w:t>
            </w:r>
          </w:p>
          <w:p w14:paraId="4C974519" w14:textId="20BDFD8F" w:rsidR="00B54EBC" w:rsidRPr="009A738C" w:rsidRDefault="00B54EBC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είναι ένα υποκειμενικό συναίσθημα ότι δεν είναι σε θέση να αντιμετωπίσει συγκεκριμένες απαιτήσεις και γεγονότα.</w:t>
            </w:r>
          </w:p>
          <w:p w14:paraId="746EA892" w14:textId="5445DDDA" w:rsidR="00B54EBC" w:rsidRPr="009A738C" w:rsidRDefault="00B54EBC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είναι ένα υποκειμενικό συναίσθημα ότι είναι σε θέση να αντιμετωπίσει συγκεκριμένες απαιτήσεις και γεγονότα.</w:t>
            </w:r>
          </w:p>
          <w:p w14:paraId="76ECF365" w14:textId="27FC8CC4" w:rsidR="00B54EBC" w:rsidRPr="009A738C" w:rsidRDefault="00B54EBC" w:rsidP="00BE60F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είναι μια φυσική αίσθηση ότι μπορείς να ανταπεξέλθεις σε συγκεκριμένες απαιτήσεις και γεγονότα.</w:t>
            </w:r>
          </w:p>
          <w:p w14:paraId="6C5962D1" w14:textId="0C3BD487" w:rsidR="006049C6" w:rsidRPr="00867016" w:rsidRDefault="00867016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67016">
              <w:rPr>
                <w:lang w:val="el" w:eastAsia="en-GB"/>
              </w:rPr>
              <w:t>Άγχος</w:t>
            </w:r>
            <w:r>
              <w:rPr>
                <w:lang w:val="el" w:eastAsia="en-GB"/>
              </w:rPr>
              <w:t>:</w:t>
            </w:r>
          </w:p>
          <w:p w14:paraId="32DA232E" w14:textId="11318B72" w:rsidR="00867016" w:rsidRPr="009A738C" w:rsidRDefault="0086701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867016">
              <w:rPr>
                <w:b/>
                <w:bCs/>
                <w:lang w:val="el" w:eastAsia="en-GB"/>
              </w:rPr>
              <w:t>είναι ένα αίσθημα ανησυχίας, όπως ανησυχία ή φόβος, που μπορεί να είναι ήπιο ή σοβαρό.</w:t>
            </w:r>
          </w:p>
          <w:p w14:paraId="0704C60D" w14:textId="61F9B146" w:rsidR="00867016" w:rsidRPr="009A738C" w:rsidRDefault="0086701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είναι μια έννοια ανησυχίας, όπως ανησυχία ή φόβος,</w:t>
            </w:r>
            <w:r>
              <w:rPr>
                <w:lang w:val="el" w:eastAsia="en-GB"/>
              </w:rPr>
              <w:t xml:space="preserve">που δεν μπορεί </w:t>
            </w:r>
            <w:r>
              <w:rPr>
                <w:lang w:val="el"/>
              </w:rPr>
              <w:t xml:space="preserve"> να </w:t>
            </w:r>
            <w:r w:rsidRPr="00867016">
              <w:rPr>
                <w:lang w:val="el" w:eastAsia="en-GB"/>
              </w:rPr>
              <w:t>είναι ήπια ή σοβαρή.</w:t>
            </w:r>
          </w:p>
          <w:p w14:paraId="07E9C5C1" w14:textId="420C28D1" w:rsidR="00867016" w:rsidRPr="009A738C" w:rsidRDefault="0086701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867016">
              <w:rPr>
                <w:lang w:val="el" w:eastAsia="en-GB"/>
              </w:rPr>
              <w:t>είναι ένα αίσθημα ανησυχίας, όπως ανησυχία ή φόβος, που</w:t>
            </w:r>
            <w:r>
              <w:rPr>
                <w:lang w:val="el" w:eastAsia="en-GB"/>
              </w:rPr>
              <w:t>δεν</w:t>
            </w:r>
            <w:r w:rsidRPr="00867016">
              <w:rPr>
                <w:lang w:val="el" w:eastAsia="en-GB"/>
              </w:rPr>
              <w:t xml:space="preserve"> μπορεί να είναι ήπιο ή σοβαρό.</w:t>
            </w:r>
          </w:p>
          <w:p w14:paraId="34BF54A1" w14:textId="18C0AF5C" w:rsidR="00867016" w:rsidRPr="00867016" w:rsidRDefault="00867016" w:rsidP="00E368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67016">
              <w:rPr>
                <w:lang w:val="el" w:eastAsia="en-GB"/>
              </w:rPr>
              <w:t>είναι μια έννοια ανησυχίας, όπως ανησυχία ή φόβος, που μπορεί να είναι ήπια ή σοβαρή.</w:t>
            </w:r>
          </w:p>
          <w:p w14:paraId="3C30DDD1" w14:textId="3C803EA8" w:rsidR="006049C6" w:rsidRPr="00867016" w:rsidRDefault="00867016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el"/>
              </w:rPr>
              <w:t>Οι</w:t>
            </w:r>
            <w:r w:rsidR="00562681">
              <w:rPr>
                <w:lang w:val="el"/>
              </w:rPr>
              <w:t xml:space="preserve"> </w:t>
            </w:r>
            <w:r w:rsidRPr="00867016">
              <w:rPr>
                <w:lang w:val="el" w:eastAsia="en-GB"/>
              </w:rPr>
              <w:t>στόχοι ενός ποιοτικά εστιασμένου ψηφιακού οργανισμού</w:t>
            </w:r>
            <w:r>
              <w:rPr>
                <w:lang w:val="el" w:eastAsia="en-GB"/>
              </w:rPr>
              <w:t xml:space="preserve"> είναι</w:t>
            </w:r>
            <w:r w:rsidRPr="00867016">
              <w:rPr>
                <w:lang w:val="el" w:eastAsia="en-GB"/>
              </w:rPr>
              <w:t>:</w:t>
            </w:r>
          </w:p>
          <w:p w14:paraId="6BAF87ED" w14:textId="3E6A3241" w:rsidR="00867016" w:rsidRPr="00867016" w:rsidRDefault="0086701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67016">
              <w:rPr>
                <w:b/>
                <w:bCs/>
                <w:lang w:val="el" w:eastAsia="en-GB"/>
              </w:rPr>
              <w:t>Ενιαία άποψη του πελάτη / Ενθάρρυνση της ανάληψης κινδύνων / Αποδοχή της αλλαγής</w:t>
            </w:r>
          </w:p>
          <w:p w14:paraId="23A62129" w14:textId="7E44B745" w:rsidR="00867016" w:rsidRDefault="0086701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67016">
              <w:rPr>
                <w:lang w:val="el" w:eastAsia="en-GB"/>
              </w:rPr>
              <w:t xml:space="preserve">Ενιαία άποψη του </w:t>
            </w:r>
            <w:r>
              <w:rPr>
                <w:lang w:val="el" w:eastAsia="en-GB"/>
              </w:rPr>
              <w:t>οργανισμού</w:t>
            </w:r>
            <w:r w:rsidR="00C717BC">
              <w:rPr>
                <w:lang w:val="el" w:eastAsia="en-GB"/>
              </w:rPr>
              <w:t xml:space="preserve"> /</w:t>
            </w:r>
            <w:r w:rsidRPr="00867016">
              <w:rPr>
                <w:lang w:val="el" w:eastAsia="en-GB"/>
              </w:rPr>
              <w:t xml:space="preserve"> Ενθάρρυνση της ανάληψης κινδύνων </w:t>
            </w:r>
            <w:r>
              <w:rPr>
                <w:lang w:val="el" w:eastAsia="en-GB"/>
              </w:rPr>
              <w:t xml:space="preserve">/ </w:t>
            </w:r>
            <w:r w:rsidRPr="00867016">
              <w:rPr>
                <w:lang w:val="el" w:eastAsia="en-GB"/>
              </w:rPr>
              <w:t>Αγκαλιάστε την αλλαγή</w:t>
            </w:r>
          </w:p>
          <w:p w14:paraId="17C1C9BF" w14:textId="0E80BF0C" w:rsidR="00867016" w:rsidRDefault="00C717BC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717BC">
              <w:rPr>
                <w:lang w:val="el" w:eastAsia="en-GB"/>
              </w:rPr>
              <w:t xml:space="preserve">Ενιαία άποψη του πελάτη / </w:t>
            </w:r>
            <w:r>
              <w:rPr>
                <w:lang w:val="el" w:eastAsia="en-GB"/>
              </w:rPr>
              <w:t xml:space="preserve">Μην </w:t>
            </w:r>
            <w:r w:rsidR="00867016" w:rsidRPr="00C717BC">
              <w:rPr>
                <w:lang w:val="el" w:eastAsia="en-GB"/>
              </w:rPr>
              <w:t>ενθαρρύνετε την</w:t>
            </w:r>
            <w:r w:rsidR="00867016" w:rsidRPr="00867016">
              <w:rPr>
                <w:lang w:val="el" w:eastAsia="en-GB"/>
              </w:rPr>
              <w:t xml:space="preserve"> ανάληψη κινδύνου </w:t>
            </w:r>
            <w:r w:rsidR="00867016">
              <w:rPr>
                <w:lang w:val="el" w:eastAsia="en-GB"/>
              </w:rPr>
              <w:t xml:space="preserve">/ </w:t>
            </w:r>
            <w:r w:rsidR="00867016" w:rsidRPr="00867016">
              <w:rPr>
                <w:lang w:val="el" w:eastAsia="en-GB"/>
              </w:rPr>
              <w:t>Αγκαλιάστε την αλλαγή</w:t>
            </w:r>
          </w:p>
          <w:p w14:paraId="5CF04B88" w14:textId="48985CCB" w:rsidR="00867016" w:rsidRPr="00867016" w:rsidRDefault="00867016" w:rsidP="000A0CA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67016">
              <w:rPr>
                <w:lang w:val="el" w:eastAsia="en-GB"/>
              </w:rPr>
              <w:t>Ενιαία άποψη του οργανισμού</w:t>
            </w:r>
            <w:r w:rsidR="00C717BC">
              <w:rPr>
                <w:lang w:val="el" w:eastAsia="en-GB"/>
              </w:rPr>
              <w:t xml:space="preserve"> / </w:t>
            </w:r>
            <w:r w:rsidRPr="00867016">
              <w:rPr>
                <w:lang w:val="el" w:eastAsia="en-GB"/>
              </w:rPr>
              <w:t xml:space="preserve">Ενθάρρυνση της ανάληψης κινδύνων / </w:t>
            </w:r>
            <w:r w:rsidR="00C717BC">
              <w:rPr>
                <w:lang w:val="el" w:eastAsia="en-GB"/>
              </w:rPr>
              <w:t xml:space="preserve">Μην </w:t>
            </w:r>
            <w:r w:rsidRPr="00867016">
              <w:rPr>
                <w:lang w:val="el" w:eastAsia="en-GB"/>
              </w:rPr>
              <w:t>αγκαλιάζετε την αλλαγή</w:t>
            </w:r>
          </w:p>
          <w:p w14:paraId="39BA785D" w14:textId="0C7092B1" w:rsidR="006049C6" w:rsidRPr="005C508D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2B5938F8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 xml:space="preserve">Εργαλειοθήκη (κατευθυντήριες γραμμές, βέλτιστες πρακτικές, κατάλογος ελέγχου, διδάγματα που αντλήθηκαν...) </w:t>
            </w:r>
            <w:r w:rsidRPr="005C508D">
              <w:rPr>
                <w:b/>
                <w:bCs/>
                <w:color w:val="C00000"/>
                <w:lang w:val="el"/>
              </w:rPr>
              <w:t xml:space="preserve"> </w:t>
            </w:r>
            <w:r w:rsidR="00562681" w:rsidRPr="00562681">
              <w:rPr>
                <w:b/>
                <w:bCs/>
                <w:color w:val="C00000"/>
                <w:lang w:val="el"/>
              </w:rPr>
              <w:t>TO BE USED BY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>Όνομα</w:t>
            </w:r>
            <w:r w:rsidRPr="005C508D">
              <w:rPr>
                <w:b/>
                <w:bCs/>
                <w:color w:val="FFFFFF" w:themeColor="background1"/>
                <w:lang w:val="el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>Περιγραφή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54403BC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3F42F639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t>Σύνδεσμος ενδιαφέροντος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1FD2" w14:textId="2BB466D7" w:rsidR="006049C6" w:rsidRDefault="005A44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7" w:history="1">
              <w:r w:rsidR="00DF21B1" w:rsidRPr="009A738C">
                <w:rPr>
                  <w:color w:val="1F3864" w:themeColor="accent1" w:themeShade="80"/>
                </w:rPr>
                <w:t>https://www.youtube.com/watch?v=v4JlSxroZGs&amp;ab_channel=UKCloudLtd</w:t>
              </w:r>
            </w:hyperlink>
          </w:p>
          <w:p w14:paraId="2192D3DB" w14:textId="1C83EBEF" w:rsidR="00DF21B1" w:rsidRDefault="005A44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8" w:history="1">
              <w:r w:rsidR="009A22EE" w:rsidRPr="009A738C">
                <w:rPr>
                  <w:color w:val="1F3864" w:themeColor="accent1" w:themeShade="80"/>
                  <w:lang w:val="es-ES"/>
                </w:rPr>
                <w:t>https://www.youtube.com/watch?v=gCWVLk9riRs&amp;ab_channel=EducationPerfect</w:t>
              </w:r>
            </w:hyperlink>
          </w:p>
          <w:p w14:paraId="33440A3D" w14:textId="7183ED3F" w:rsidR="009A22EE" w:rsidRDefault="005A44E5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9" w:history="1">
              <w:r w:rsidR="009A22EE" w:rsidRPr="009A738C">
                <w:rPr>
                  <w:color w:val="1F3864" w:themeColor="accent1" w:themeShade="80"/>
                  <w:lang w:val="es-ES"/>
                </w:rPr>
                <w:t>https://www.digitalrealty.com/blog/how-do-i-optimize-workloads-and-workflows-in-the-digital-workplace-part-2</w:t>
              </w:r>
            </w:hyperlink>
          </w:p>
          <w:p w14:paraId="60F98B57" w14:textId="0F899C0D" w:rsidR="009A22EE" w:rsidRDefault="005A44E5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0" w:history="1">
              <w:r w:rsidR="009A22EE" w:rsidRPr="009A738C">
                <w:rPr>
                  <w:color w:val="1F3864" w:themeColor="accent1" w:themeShade="80"/>
                  <w:lang w:val="es-ES"/>
                </w:rPr>
                <w:t>https://www.interxion.com/blogs/how-do-i-optimize-workloads-and-workflows-in-the-digital-workplace-part-1</w:t>
              </w:r>
            </w:hyperlink>
          </w:p>
          <w:p w14:paraId="2AA48CAF" w14:textId="18E5E3E5" w:rsidR="009A22EE" w:rsidRDefault="005A44E5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1" w:history="1">
              <w:r w:rsidR="009A22EE" w:rsidRPr="009A738C">
                <w:rPr>
                  <w:color w:val="1F3864" w:themeColor="accent1" w:themeShade="80"/>
                  <w:lang w:val="es-ES"/>
                </w:rPr>
                <w:t>https://www.information-age.com/truth-digital-transformation-2-123470666/</w:t>
              </w:r>
            </w:hyperlink>
          </w:p>
          <w:p w14:paraId="1520757E" w14:textId="0FA272ED" w:rsidR="009A22EE" w:rsidRDefault="005A44E5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2" w:history="1">
              <w:r w:rsidR="00FD3D40" w:rsidRPr="009A738C">
                <w:rPr>
                  <w:color w:val="1F3864" w:themeColor="accent1" w:themeShade="80"/>
                  <w:lang w:val="es-ES"/>
                </w:rPr>
                <w:t>https://bmcpublichealth.biomedcentral.com/articles/10.1186/s12889-021-10710-2</w:t>
              </w:r>
            </w:hyperlink>
          </w:p>
          <w:p w14:paraId="1CE9E9BA" w14:textId="55F76682" w:rsidR="00FD3D40" w:rsidRDefault="005A44E5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3" w:anchor="definition" w:history="1">
              <w:r w:rsidR="00AA0AAA" w:rsidRPr="009A738C">
                <w:rPr>
                  <w:color w:val="1F3864" w:themeColor="accent1" w:themeShade="80"/>
                  <w:lang w:val="es-ES"/>
                </w:rPr>
                <w:t>https://www.medicalnewstoday.com/articles/145855#definition</w:t>
              </w:r>
            </w:hyperlink>
          </w:p>
          <w:p w14:paraId="4AC7006C" w14:textId="71C2F5A0" w:rsidR="00AA0AAA" w:rsidRPr="00AA0AAA" w:rsidRDefault="00AA0AAA" w:rsidP="00AA0AAA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9A738C">
              <w:rPr>
                <w:color w:val="1F3864" w:themeColor="accent1" w:themeShade="80"/>
                <w:lang w:val="es-ES"/>
              </w:rPr>
              <w:t>https://corporatefinanceinstitute.com/resources/knowledge/strategy/quality-management/</w:t>
            </w: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D2347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 xml:space="preserve">Cortez, E.,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Bonde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A.,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Muzio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A., Russinovich, M.,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Fontoura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M., &amp;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Bianchini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>, R. (2017, October). Resource central: Understanding and predicting workloads for improved resource management in large cloud platforms. In Proceedings of the 26th Symposium on Operating Systems Principles (pp. 153-167).</w:t>
            </w:r>
          </w:p>
          <w:p w14:paraId="0D5F1431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 xml:space="preserve">Jia, Z., Zhan, J., Wang, L., Luo, C., Gao, W.,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Jin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>, Y., ... &amp; Zhang, L. (2016). Understanding big data analytics workloads on modern processors. IEEE Transactions on Parallel and Distributed Systems, 28(6), 1797-1810.</w:t>
            </w:r>
          </w:p>
          <w:p w14:paraId="13965486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lastRenderedPageBreak/>
              <w:t xml:space="preserve">Snow, C. C.,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Fjeldstad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Ø. D., &amp; Langer, A. M. (2017). Designing </w:t>
            </w:r>
            <w:proofErr w:type="gramStart"/>
            <w:r w:rsidRPr="00562681">
              <w:rPr>
                <w:color w:val="1F3864" w:themeColor="accent1" w:themeShade="80"/>
                <w:lang w:val="en-US"/>
              </w:rPr>
              <w:t>the digital</w:t>
            </w:r>
            <w:proofErr w:type="gramEnd"/>
            <w:r w:rsidRPr="00562681">
              <w:rPr>
                <w:color w:val="1F3864" w:themeColor="accent1" w:themeShade="80"/>
                <w:lang w:val="en-US"/>
              </w:rPr>
              <w:t xml:space="preserve"> organization. Journal of organization Design, 6(1), 1-13.</w:t>
            </w:r>
          </w:p>
          <w:p w14:paraId="3A7A9FF2" w14:textId="09355F6A" w:rsidR="00FD3D40" w:rsidRPr="005C508D" w:rsidRDefault="00562681" w:rsidP="0056268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562681">
              <w:rPr>
                <w:color w:val="1F3864" w:themeColor="accent1" w:themeShade="80"/>
                <w:lang w:val="en-US"/>
              </w:rPr>
              <w:t>Ponsignon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F.,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Kleinhans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S., &amp;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Bressolles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G. (2019). The contribution of quality management to an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organisation’s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 digital transformation: a qualitative study.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Total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 xml:space="preserve"> Quality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Management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 xml:space="preserve"> &amp;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Business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 xml:space="preserve">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Excellence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>, 30(sup1), S17-S34.</w:t>
            </w: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Σχετικά PPT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B269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 xml:space="preserve">Cortez, E.,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Bonde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A.,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Muzio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A., Russinovich, M.,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Fontoura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M., &amp;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Bianchini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>, R. (2017, October). Resource central: Understanding and predicting workloads for improved resource management in large cloud platforms. In Proceedings of the 26th Symposium on Operating Systems Principles (pp. 153-167).</w:t>
            </w:r>
          </w:p>
          <w:p w14:paraId="340D2A41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https://www.nutanix.com/theforecastbynutanix/technology/rethinking-cloud-workloads</w:t>
            </w:r>
          </w:p>
          <w:p w14:paraId="781ADDB8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Hurwitz, J. S., &amp; Kirsch, D. (2020). Cloud computing for dummies. John Wiley &amp; Sons.</w:t>
            </w:r>
          </w:p>
          <w:p w14:paraId="39B8E171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https://www.nhs.uk/mental-health/conditions/generalised-anxiety-disorder/overview/</w:t>
            </w:r>
          </w:p>
          <w:p w14:paraId="04AD80CC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https://www.medicalnewstoday.com/articles/145855</w:t>
            </w:r>
          </w:p>
          <w:p w14:paraId="0F32D64C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https://www.mayoclinic.org/tests-procedures/resilience-training/in-depth/resilience/art-20046311</w:t>
            </w:r>
          </w:p>
          <w:p w14:paraId="2C53E053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https://www.linkedin.com/pulse/what-digital-organisation-owen-mccall/</w:t>
            </w:r>
          </w:p>
          <w:p w14:paraId="28D1AB44" w14:textId="77777777" w:rsidR="00562681" w:rsidRPr="00562681" w:rsidRDefault="00562681" w:rsidP="00562681">
            <w:pPr>
              <w:rPr>
                <w:color w:val="1F3864" w:themeColor="accent1" w:themeShade="80"/>
                <w:lang w:val="en-US"/>
              </w:rPr>
            </w:pPr>
            <w:r w:rsidRPr="00562681">
              <w:rPr>
                <w:color w:val="1F3864" w:themeColor="accent1" w:themeShade="80"/>
                <w:lang w:val="en-US"/>
              </w:rPr>
              <w:t>https://www.cmswire.com/digital-workplace/3-steps-to-building-a-digital-culture/</w:t>
            </w:r>
          </w:p>
          <w:p w14:paraId="15D24FED" w14:textId="0EA424C0" w:rsidR="00AA0AAA" w:rsidRPr="00C67D32" w:rsidRDefault="00562681" w:rsidP="00562681">
            <w:pPr>
              <w:rPr>
                <w:color w:val="1F3864" w:themeColor="accent1" w:themeShade="80"/>
                <w:lang w:val="es-ES"/>
              </w:rPr>
            </w:pPr>
            <w:proofErr w:type="spellStart"/>
            <w:r w:rsidRPr="00562681">
              <w:rPr>
                <w:color w:val="1F3864" w:themeColor="accent1" w:themeShade="80"/>
                <w:lang w:val="en-US"/>
              </w:rPr>
              <w:t>Ponsignon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F.,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Kleinhans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S., &amp;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Bressolles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, G. (2019). The contribution of quality management to an </w:t>
            </w:r>
            <w:proofErr w:type="spellStart"/>
            <w:r w:rsidRPr="00562681">
              <w:rPr>
                <w:color w:val="1F3864" w:themeColor="accent1" w:themeShade="80"/>
                <w:lang w:val="en-US"/>
              </w:rPr>
              <w:t>organisation’s</w:t>
            </w:r>
            <w:proofErr w:type="spellEnd"/>
            <w:r w:rsidRPr="00562681">
              <w:rPr>
                <w:color w:val="1F3864" w:themeColor="accent1" w:themeShade="80"/>
                <w:lang w:val="en-US"/>
              </w:rPr>
              <w:t xml:space="preserve"> digital transformation: a qualitative study.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Total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 xml:space="preserve"> Quality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Management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 xml:space="preserve"> &amp;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Business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 xml:space="preserve"> </w:t>
            </w:r>
            <w:proofErr w:type="spellStart"/>
            <w:r w:rsidRPr="00562681">
              <w:rPr>
                <w:color w:val="1F3864" w:themeColor="accent1" w:themeShade="80"/>
                <w:lang w:val="el"/>
              </w:rPr>
              <w:t>Excellence</w:t>
            </w:r>
            <w:proofErr w:type="spellEnd"/>
            <w:r w:rsidRPr="00562681">
              <w:rPr>
                <w:color w:val="1F3864" w:themeColor="accent1" w:themeShade="80"/>
                <w:lang w:val="el"/>
              </w:rPr>
              <w:t>, 30(sup1), S17-S34.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Παρέχεται από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160610D7" w:rsidR="006049C6" w:rsidRPr="005C508D" w:rsidRDefault="0056268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562681"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  <w:t>SEERC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3941CBAE" w:rsidR="00A4144D" w:rsidRPr="005C508D" w:rsidRDefault="005A44E5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BE95" w14:textId="77777777" w:rsidR="005F5748" w:rsidRDefault="005F5748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4D7B7219" w14:textId="77777777" w:rsidR="005F5748" w:rsidRDefault="005F5748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9A738C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9A738C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400E" w14:textId="77777777" w:rsidR="005F5748" w:rsidRDefault="005F5748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5E0FC219" w14:textId="77777777" w:rsidR="005F5748" w:rsidRDefault="005F5748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3D5" w14:textId="77777777" w:rsidR="00562681" w:rsidRDefault="00562681" w:rsidP="00562681">
    <w:pPr>
      <w:spacing w:after="0" w:line="240" w:lineRule="auto"/>
      <w:jc w:val="center"/>
      <w:rPr>
        <w:b/>
        <w:bCs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9504" behindDoc="1" locked="0" layoutInCell="1" allowOverlap="1" wp14:anchorId="3C8F2F27" wp14:editId="5C10B100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el"/>
      </w:rPr>
      <w:t>Ενίσχυση της ανθεκτικότητας των ΜΜΕ</w:t>
    </w:r>
  </w:p>
  <w:p w14:paraId="4CCF0211" w14:textId="77777777" w:rsidR="00562681" w:rsidRPr="00794C1F" w:rsidRDefault="00562681" w:rsidP="00562681">
    <w:pPr>
      <w:spacing w:line="240" w:lineRule="auto"/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lang w:val="el"/>
      </w:rPr>
      <w:t xml:space="preserve"> μετά τ</w:t>
    </w:r>
    <w:r>
      <w:rPr>
        <w:b/>
        <w:bCs/>
        <w:lang w:val="el"/>
      </w:rPr>
      <w:t>α περιοριστικά μέτρα</w:t>
    </w:r>
    <w:r w:rsidRPr="000C31A9">
      <w:rPr>
        <w:b/>
        <w:bCs/>
        <w:lang w:val="el"/>
      </w:rPr>
      <w:t xml:space="preserve"> </w:t>
    </w:r>
    <w:r>
      <w:rPr>
        <w:b/>
        <w:bCs/>
        <w:lang w:val="el"/>
      </w:rPr>
      <w:t>(</w:t>
    </w:r>
    <w:proofErr w:type="spellStart"/>
    <w:r w:rsidRPr="000C31A9">
      <w:rPr>
        <w:b/>
        <w:bCs/>
        <w:lang w:val="el"/>
      </w:rPr>
      <w:t>lock-down</w:t>
    </w:r>
    <w:proofErr w:type="spellEnd"/>
    <w:r>
      <w:rPr>
        <w:b/>
        <w:bCs/>
        <w:lang w:val="el"/>
      </w:rPr>
      <w:t>)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el"/>
      </w:rPr>
      <w:t>www.esmerald.eu</w:t>
    </w:r>
  </w:p>
  <w:p w14:paraId="635AD7A1" w14:textId="311233AF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7602962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13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NjEzsTAwNTI3NbZQ0lEKTi0uzszPAykwrgUAw7NeICwAAAA="/>
  </w:docVars>
  <w:rsids>
    <w:rsidRoot w:val="00D87393"/>
    <w:rsid w:val="000C31A9"/>
    <w:rsid w:val="001725F0"/>
    <w:rsid w:val="002F45CB"/>
    <w:rsid w:val="004B65A8"/>
    <w:rsid w:val="00505F0E"/>
    <w:rsid w:val="00562681"/>
    <w:rsid w:val="0056514B"/>
    <w:rsid w:val="005A44E5"/>
    <w:rsid w:val="005C47DF"/>
    <w:rsid w:val="005C508D"/>
    <w:rsid w:val="005D3D97"/>
    <w:rsid w:val="005F5748"/>
    <w:rsid w:val="006049C6"/>
    <w:rsid w:val="006975E6"/>
    <w:rsid w:val="007056E7"/>
    <w:rsid w:val="00760BB1"/>
    <w:rsid w:val="00774CCE"/>
    <w:rsid w:val="00854643"/>
    <w:rsid w:val="00867016"/>
    <w:rsid w:val="008E2D90"/>
    <w:rsid w:val="009621A6"/>
    <w:rsid w:val="009A22EE"/>
    <w:rsid w:val="009A738C"/>
    <w:rsid w:val="009D3E93"/>
    <w:rsid w:val="009E31E0"/>
    <w:rsid w:val="00A17E0A"/>
    <w:rsid w:val="00A43ECC"/>
    <w:rsid w:val="00A814EA"/>
    <w:rsid w:val="00AA0AAA"/>
    <w:rsid w:val="00B276F9"/>
    <w:rsid w:val="00B54EBC"/>
    <w:rsid w:val="00C17ABD"/>
    <w:rsid w:val="00C67D32"/>
    <w:rsid w:val="00C717BC"/>
    <w:rsid w:val="00CC2455"/>
    <w:rsid w:val="00CF4AA2"/>
    <w:rsid w:val="00D45B98"/>
    <w:rsid w:val="00D87393"/>
    <w:rsid w:val="00DA6A19"/>
    <w:rsid w:val="00DB0975"/>
    <w:rsid w:val="00DF21B1"/>
    <w:rsid w:val="00E52AA0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7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WVLk9riRs&amp;ab_channel=EducationPerfect" TargetMode="External"/><Relationship Id="rId13" Type="http://schemas.openxmlformats.org/officeDocument/2006/relationships/hyperlink" Target="https://www.medicalnewstoday.com/articles/145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4JlSxroZGs&amp;ab_channel=UKCloudLtd" TargetMode="External"/><Relationship Id="rId12" Type="http://schemas.openxmlformats.org/officeDocument/2006/relationships/hyperlink" Target="https://bmcpublichealth.biomedcentral.com/articles/10.1186/s12889-021-10710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-age.com/truth-digital-transformation-2-12347066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terxion.com/blogs/how-do-i-optimize-workloads-and-workflows-in-the-digital-workplace-part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realty.com/blog/how-do-i-optimize-workloads-and-workflows-in-the-digital-workplace-part-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3</cp:revision>
  <dcterms:created xsi:type="dcterms:W3CDTF">2022-10-06T10:24:00Z</dcterms:created>
  <dcterms:modified xsi:type="dcterms:W3CDTF">2022-10-06T10:50:00Z</dcterms:modified>
  <cp:category/>
</cp:coreProperties>
</file>