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6F105A1E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D26878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34EDE560" w:rsidR="006049C6" w:rsidRPr="00AD6204" w:rsidRDefault="00D26878" w:rsidP="005519F6">
            <w:p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D26878">
              <w:rPr>
                <w:color w:val="000000" w:themeColor="text1"/>
                <w:lang w:val="el"/>
              </w:rPr>
              <w:t xml:space="preserve">Πλαίσιο και πόροι της ΕΕ για την κυβερνοασφάλεια των ΜΜΕ 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08C240D3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Λέξεις-κλειδιά (</w:t>
            </w:r>
            <w:proofErr w:type="spellStart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μεταετικέτα</w:t>
            </w:r>
            <w:proofErr w:type="spellEnd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5F5CD6BD" w:rsidR="006049C6" w:rsidRPr="00D26878" w:rsidRDefault="00D26878" w:rsidP="00D26878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26878">
              <w:rPr>
                <w:color w:val="000000" w:themeColor="text1"/>
                <w:lang w:val="el"/>
              </w:rPr>
              <w:t xml:space="preserve">Κυβερνοασφάλεια, </w:t>
            </w:r>
            <w:r>
              <w:rPr>
                <w:color w:val="000000" w:themeColor="text1"/>
                <w:lang w:val="el"/>
              </w:rPr>
              <w:t>Ευρωπαϊκή Ένωση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6AEC6AFA" w:rsidR="006049C6" w:rsidRPr="00AD6204" w:rsidRDefault="00AD6204">
            <w:p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Ελληνικά</w:t>
            </w:r>
          </w:p>
        </w:tc>
      </w:tr>
      <w:tr w:rsidR="006049C6" w:rsidRPr="00D26878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2F3398FA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Στόχοι /Διδάγματα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08006" w14:textId="3339A2C3" w:rsidR="00D26878" w:rsidRPr="00AD6204" w:rsidRDefault="00D26878" w:rsidP="00D268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D26878">
              <w:rPr>
                <w:color w:val="000000" w:themeColor="text1"/>
                <w:lang w:val="el"/>
              </w:rPr>
              <w:t>Κατανόηση της πολιτικής της ΕΕ για την ασφάλεια στον κυβερνοχώρο (της εξέλιξής της και εμπλεκόμενοι φορείς</w:t>
            </w:r>
            <w:r>
              <w:rPr>
                <w:color w:val="000000" w:themeColor="text1"/>
                <w:lang w:val="el"/>
              </w:rPr>
              <w:t>)</w:t>
            </w:r>
          </w:p>
          <w:p w14:paraId="3E0ADB40" w14:textId="60D37462" w:rsidR="0026414E" w:rsidRPr="00AD6204" w:rsidRDefault="00D26878" w:rsidP="00D268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D26878">
              <w:rPr>
                <w:color w:val="000000" w:themeColor="text1"/>
                <w:lang w:val="el"/>
              </w:rPr>
              <w:t xml:space="preserve">Μάθετε πώς η ΕΕ στηρίζει τις ΜΜΕ στον τομέα της </w:t>
            </w:r>
            <w:proofErr w:type="spellStart"/>
            <w:r w:rsidRPr="00D26878">
              <w:rPr>
                <w:color w:val="000000" w:themeColor="text1"/>
                <w:lang w:val="el"/>
              </w:rPr>
              <w:t>κυβερνοασφάλειας</w:t>
            </w:r>
            <w:proofErr w:type="spellEnd"/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Περιοχή προπόνησης: (Επιλέξτε μία)</w:t>
            </w:r>
          </w:p>
        </w:tc>
      </w:tr>
      <w:tr w:rsidR="006049C6" w:rsidRPr="00D26878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AD6204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C508D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FA53180" w:rsidR="006049C6" w:rsidRPr="005C508D" w:rsidRDefault="00704D4C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3C652765" w:rsidR="006049C6" w:rsidRPr="005C508D" w:rsidRDefault="006049C6" w:rsidP="007513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D26878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69808223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 xml:space="preserve">Περιγραφή: 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02D8" w14:textId="77777777" w:rsidR="00B25467" w:rsidRPr="00AD6204" w:rsidRDefault="00B25467" w:rsidP="005C764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111D6158" w14:textId="77777777" w:rsidR="000E25F5" w:rsidRPr="00AD6204" w:rsidRDefault="000E25F5" w:rsidP="000E25F5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0E25F5">
              <w:rPr>
                <w:lang w:val="el" w:eastAsia="en-GB"/>
              </w:rPr>
              <w:t xml:space="preserve">Οι ΜΜΕ αποτελούν τη ραχοκοκαλιά της ευρωπαϊκής οικονομίας και αποτελούν ολοένα και περισσότερο στόχο κυβερνοεπιθέσεων. Τις τελευταίες δεκαετίες, η ΕΕ έχει αυξήσει τη δέσμευση και τις αρμοδιότητές της στον τομέα της κυβερνοασφάλειας. Η ενότητα αυτή θα συμβάλει στην καλύτερη κατανόηση του τρόπου με τον οποίο η ΕΕ αντιμετωπίζει την ασφάλεια στον κυβερνοχώρο και των πόρων που διαθέτουν οι ευρωπαϊκές ΜΜΕ για να αντιμετωπίσουν τις προκλήσεις από τις </w:t>
            </w:r>
            <w:proofErr w:type="spellStart"/>
            <w:r w:rsidRPr="000E25F5">
              <w:rPr>
                <w:lang w:val="el" w:eastAsia="en-GB"/>
              </w:rPr>
              <w:t>κυβερνοεπιθέσεις</w:t>
            </w:r>
            <w:proofErr w:type="spellEnd"/>
            <w:r w:rsidRPr="000E25F5">
              <w:rPr>
                <w:lang w:val="el" w:eastAsia="en-GB"/>
              </w:rPr>
              <w:t>.</w:t>
            </w:r>
          </w:p>
          <w:p w14:paraId="5A0579CB" w14:textId="28A9B1F9" w:rsidR="000E25F5" w:rsidRPr="00AD6204" w:rsidRDefault="000E25F5" w:rsidP="000E25F5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</w:tc>
      </w:tr>
      <w:tr w:rsidR="006049C6" w:rsidRPr="003F3086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0E25F5" w:rsidRDefault="006049C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E25F5">
              <w:rPr>
                <w:b/>
                <w:bCs/>
                <w:color w:val="FFFFFF" w:themeColor="background1"/>
                <w:lang w:val="el" w:eastAsia="en-GB"/>
              </w:rPr>
              <w:t>Περιεχόμενα διατεταγμένα σε 3 επίπεδα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9F25F" w14:textId="2EFB56F6" w:rsidR="005C764F" w:rsidRPr="00AD6204" w:rsidRDefault="003F3086" w:rsidP="005C764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3F3086">
              <w:rPr>
                <w:b/>
                <w:bCs/>
                <w:lang w:val="el" w:eastAsia="en-GB"/>
              </w:rPr>
              <w:t xml:space="preserve">Πλαίσιο και πόροι της ΕΕ για την κυβερνοασφάλεια των ΜΜΕ </w:t>
            </w:r>
          </w:p>
          <w:p w14:paraId="7B43F67A" w14:textId="77777777" w:rsidR="003F3086" w:rsidRPr="00AD6204" w:rsidRDefault="003F3086" w:rsidP="005C764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56AF9A47" w14:textId="5AA9488A" w:rsidR="003F3086" w:rsidRPr="00AD6204" w:rsidRDefault="003F3086" w:rsidP="003F3086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3F3086">
              <w:rPr>
                <w:b/>
                <w:bCs/>
                <w:lang w:val="el" w:eastAsia="en-GB"/>
              </w:rPr>
              <w:t xml:space="preserve">Πλαίσιο και πόροι της ΕΕ για την </w:t>
            </w:r>
            <w:proofErr w:type="spellStart"/>
            <w:r w:rsidRPr="003F3086">
              <w:rPr>
                <w:b/>
                <w:bCs/>
                <w:lang w:val="el" w:eastAsia="en-GB"/>
              </w:rPr>
              <w:t>κυβερνοασφάλεια</w:t>
            </w:r>
            <w:proofErr w:type="spellEnd"/>
            <w:r w:rsidRPr="003F3086">
              <w:rPr>
                <w:b/>
                <w:bCs/>
                <w:lang w:val="el" w:eastAsia="en-GB"/>
              </w:rPr>
              <w:t xml:space="preserve"> των ΜΜΕ</w:t>
            </w:r>
          </w:p>
          <w:p w14:paraId="6F6F2A4D" w14:textId="77777777" w:rsidR="003F3086" w:rsidRPr="00AD6204" w:rsidRDefault="006049C6" w:rsidP="003F308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BB3B96">
              <w:rPr>
                <w:lang w:val="el" w:eastAsia="en-GB"/>
              </w:rPr>
              <w:t xml:space="preserve">1.1.1 </w:t>
            </w:r>
            <w:r w:rsidR="000C1397" w:rsidRPr="003F3086">
              <w:rPr>
                <w:lang w:val="el" w:eastAsia="en-GB"/>
              </w:rPr>
              <w:t xml:space="preserve">ΜΜΕ και </w:t>
            </w:r>
            <w:proofErr w:type="spellStart"/>
            <w:r w:rsidR="000C1397" w:rsidRPr="003F3086">
              <w:rPr>
                <w:lang w:val="el" w:eastAsia="en-GB"/>
              </w:rPr>
              <w:t>κυβερνοασφάλεια</w:t>
            </w:r>
            <w:proofErr w:type="spellEnd"/>
            <w:r w:rsidR="000C1397" w:rsidRPr="003F3086">
              <w:rPr>
                <w:lang w:val="el" w:eastAsia="en-GB"/>
              </w:rPr>
              <w:t xml:space="preserve"> στην Ευρώπη: το πλαίσιο</w:t>
            </w:r>
          </w:p>
          <w:p w14:paraId="54C7EC64" w14:textId="0701E9B3" w:rsidR="00BB3B96" w:rsidRPr="00AD6204" w:rsidRDefault="006049C6" w:rsidP="003F308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BB3B96">
              <w:rPr>
                <w:lang w:val="el" w:eastAsia="en-GB"/>
              </w:rPr>
              <w:t xml:space="preserve">1.1.2 </w:t>
            </w:r>
            <w:r w:rsidR="000C1397" w:rsidRPr="003F3086">
              <w:rPr>
                <w:lang w:val="el" w:eastAsia="en-GB"/>
              </w:rPr>
              <w:t>Εξέλιξη της πολιτικής της ΕΕ για την ασφάλεια στον κυβερνοχώρο</w:t>
            </w:r>
          </w:p>
          <w:p w14:paraId="7711F02D" w14:textId="7EF0D462" w:rsidR="006049C6" w:rsidRPr="00AD6204" w:rsidRDefault="006049C6" w:rsidP="003F308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75137D">
              <w:rPr>
                <w:lang w:val="el" w:eastAsia="en-GB"/>
              </w:rPr>
              <w:t xml:space="preserve">1.1.3 </w:t>
            </w:r>
            <w:r w:rsidR="000C1397" w:rsidRPr="003F3086">
              <w:rPr>
                <w:lang w:val="el" w:eastAsia="en-GB"/>
              </w:rPr>
              <w:t xml:space="preserve">Θεσμική αρχιτεκτονική της ΕΕ στον τομέα της </w:t>
            </w:r>
            <w:proofErr w:type="spellStart"/>
            <w:r w:rsidR="000C1397" w:rsidRPr="003F3086">
              <w:rPr>
                <w:lang w:val="el" w:eastAsia="en-GB"/>
              </w:rPr>
              <w:t>κυβερνοασφάλειας</w:t>
            </w:r>
            <w:proofErr w:type="spellEnd"/>
          </w:p>
          <w:p w14:paraId="0637D48E" w14:textId="0DCBC8A2" w:rsidR="006049C6" w:rsidRPr="00BB3B96" w:rsidRDefault="005C764F" w:rsidP="000E25F5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lang w:val="el" w:eastAsia="en-GB"/>
              </w:rPr>
              <w:t xml:space="preserve">1.1.4 </w:t>
            </w:r>
            <w:r w:rsidR="000C1397" w:rsidRPr="003F3086">
              <w:rPr>
                <w:lang w:val="el" w:eastAsia="en-GB"/>
              </w:rPr>
              <w:t xml:space="preserve">Πόροι για τις ΜΜΕ </w:t>
            </w:r>
          </w:p>
          <w:p w14:paraId="0914DDC6" w14:textId="77777777" w:rsidR="006049C6" w:rsidRPr="00BB3B96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49C6" w:rsidRPr="00D26878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AD6204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t xml:space="preserve">Αυτοαξιολόγηση (ερωτήματα και </w:t>
            </w:r>
            <w:r w:rsidRPr="005C508D">
              <w:rPr>
                <w:b/>
                <w:bCs/>
                <w:color w:val="FFFFFF" w:themeColor="background1"/>
                <w:lang w:val="el"/>
              </w:rPr>
              <w:lastRenderedPageBreak/>
              <w:t>απαντήσεις πολλαπλής επιλογής)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AD6204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2665134B" w14:textId="77777777" w:rsidR="00106E59" w:rsidRPr="00AD6204" w:rsidRDefault="000C1397" w:rsidP="003F308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F3086">
              <w:rPr>
                <w:b/>
                <w:bCs/>
                <w:lang w:val="el" w:eastAsia="en-GB"/>
              </w:rPr>
              <w:t>Στη δεκαετία του '80, η επικρατούσα στάση της ΕΕ απέναντι στην ασφάλεια στον κυβερνοχώρο ήταν:</w:t>
            </w:r>
          </w:p>
          <w:p w14:paraId="0EA1E9B5" w14:textId="77777777" w:rsidR="003F3086" w:rsidRPr="00AD6204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F3086">
              <w:rPr>
                <w:b/>
                <w:bCs/>
                <w:lang w:val="el" w:eastAsia="en-GB"/>
              </w:rPr>
              <w:lastRenderedPageBreak/>
              <w:t>α.- κυρίως οικονομικά</w:t>
            </w:r>
          </w:p>
          <w:p w14:paraId="748F86D6" w14:textId="77777777" w:rsidR="003F3086" w:rsidRPr="00AD6204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F3086">
              <w:rPr>
                <w:lang w:val="el" w:eastAsia="en-GB"/>
              </w:rPr>
              <w:t>β.- απευθύνεται μόνο στην προστασία των πολιτών</w:t>
            </w:r>
          </w:p>
          <w:p w14:paraId="53E4962D" w14:textId="77777777" w:rsidR="003F3086" w:rsidRPr="00AD6204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F3086">
              <w:rPr>
                <w:lang w:val="el" w:eastAsia="en-GB"/>
              </w:rPr>
              <w:t>γ.- δεν σχετίζεται με τη δημιουργία ενιαίας αγοράς</w:t>
            </w:r>
          </w:p>
          <w:p w14:paraId="643F2983" w14:textId="77777777" w:rsidR="003F3086" w:rsidRPr="00AD6204" w:rsidRDefault="003F3086" w:rsidP="003F308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2BD89BF6" w14:textId="03621152" w:rsidR="003F3086" w:rsidRPr="00AD6204" w:rsidRDefault="003F3086" w:rsidP="003F308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3F3086">
              <w:rPr>
                <w:b/>
                <w:bCs/>
                <w:lang w:val="el" w:eastAsia="en-GB"/>
              </w:rPr>
              <w:t xml:space="preserve">Πόσα σκέλη έχει η ΕΕ στον τομέα της </w:t>
            </w:r>
            <w:proofErr w:type="spellStart"/>
            <w:r w:rsidRPr="003F3086">
              <w:rPr>
                <w:b/>
                <w:bCs/>
                <w:lang w:val="el" w:eastAsia="en-GB"/>
              </w:rPr>
              <w:t>κυβερνοασφάλειας</w:t>
            </w:r>
            <w:proofErr w:type="spellEnd"/>
            <w:r w:rsidRPr="003F3086">
              <w:rPr>
                <w:b/>
                <w:bCs/>
                <w:lang w:val="el" w:eastAsia="en-GB"/>
              </w:rPr>
              <w:t>;</w:t>
            </w:r>
          </w:p>
          <w:p w14:paraId="2FE3F4D3" w14:textId="77777777" w:rsidR="003F3086" w:rsidRP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3F3086">
              <w:rPr>
                <w:b/>
                <w:bCs/>
                <w:lang w:val="el" w:eastAsia="en-GB"/>
              </w:rPr>
              <w:t>α.- 2</w:t>
            </w:r>
          </w:p>
          <w:p w14:paraId="57340EEE" w14:textId="77777777" w:rsidR="003F3086" w:rsidRP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3F3086">
              <w:rPr>
                <w:b/>
                <w:bCs/>
                <w:lang w:val="el" w:eastAsia="en-GB"/>
              </w:rPr>
              <w:t>β.- 3</w:t>
            </w:r>
          </w:p>
          <w:p w14:paraId="032D96DB" w14:textId="77777777" w:rsidR="003F3086" w:rsidRP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3F3086">
              <w:rPr>
                <w:b/>
                <w:bCs/>
                <w:lang w:val="el" w:eastAsia="en-GB"/>
              </w:rPr>
              <w:t>γ.- 5</w:t>
            </w:r>
          </w:p>
          <w:p w14:paraId="35A63A3C" w14:textId="77777777" w:rsidR="003F3086" w:rsidRPr="00167735" w:rsidRDefault="003F3086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</w:p>
          <w:p w14:paraId="748799B7" w14:textId="1120EF6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</w:p>
          <w:p w14:paraId="3243350F" w14:textId="3C7540F7" w:rsidR="003F3086" w:rsidRPr="00AD6204" w:rsidRDefault="003F3086" w:rsidP="003F308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3F3086">
              <w:rPr>
                <w:b/>
                <w:bCs/>
                <w:lang w:val="el" w:eastAsia="en-GB"/>
              </w:rPr>
              <w:t xml:space="preserve">Ποιος από τους ακόλουθους οργανισμούς δεν </w:t>
            </w:r>
            <w:proofErr w:type="spellStart"/>
            <w:r w:rsidRPr="003F3086">
              <w:rPr>
                <w:b/>
                <w:bCs/>
                <w:lang w:val="el" w:eastAsia="en-GB"/>
              </w:rPr>
              <w:t>είναι</w:t>
            </w:r>
            <w:r>
              <w:rPr>
                <w:b/>
                <w:bCs/>
                <w:lang w:val="el" w:eastAsia="en-GB"/>
              </w:rPr>
              <w:t>ειδικευμένος</w:t>
            </w:r>
            <w:proofErr w:type="spellEnd"/>
            <w:r>
              <w:rPr>
                <w:lang w:val="el"/>
              </w:rPr>
              <w:t xml:space="preserve"> οργανισμός της ΕΕ </w:t>
            </w:r>
            <w:r>
              <w:rPr>
                <w:b/>
                <w:bCs/>
                <w:lang w:val="el" w:eastAsia="en-GB"/>
              </w:rPr>
              <w:t xml:space="preserve"> για την </w:t>
            </w:r>
            <w:r w:rsidRPr="003F3086">
              <w:rPr>
                <w:b/>
                <w:bCs/>
                <w:lang w:val="el" w:eastAsia="en-GB"/>
              </w:rPr>
              <w:t>ασφάλεια στον κυβερνοχώρο;</w:t>
            </w:r>
          </w:p>
          <w:p w14:paraId="575753FE" w14:textId="77777777" w:rsidR="003F3086" w:rsidRP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3F3086">
              <w:rPr>
                <w:lang w:val="el" w:eastAsia="en-GB"/>
              </w:rPr>
              <w:t>α.- ENISA</w:t>
            </w:r>
          </w:p>
          <w:p w14:paraId="4C3E256B" w14:textId="77777777" w:rsidR="003F3086" w:rsidRP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3F3086">
              <w:rPr>
                <w:lang w:val="el" w:eastAsia="en-GB"/>
              </w:rPr>
              <w:t>β.- Ευρωπόλ – Ευρωπαϊκό Κέντρο για εγκλήματα στον κυβερνοχώρο (EC3)</w:t>
            </w:r>
          </w:p>
          <w:p w14:paraId="072E542A" w14:textId="56D2ADEF" w:rsid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3F3086">
              <w:rPr>
                <w:b/>
                <w:bCs/>
                <w:lang w:val="el" w:eastAsia="en-GB"/>
              </w:rPr>
              <w:t>γ.- Εθνικές Μονάδες Ηλεκτρονικού Εγκλήματος</w:t>
            </w:r>
          </w:p>
          <w:p w14:paraId="6B6795F2" w14:textId="7FF042DF" w:rsid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6ADE0821" w14:textId="77777777" w:rsidR="003F3086" w:rsidRPr="00AD6204" w:rsidRDefault="003F3086" w:rsidP="003F308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3F3086">
              <w:rPr>
                <w:b/>
                <w:bCs/>
                <w:lang w:val="el" w:eastAsia="en-GB"/>
              </w:rPr>
              <w:t xml:space="preserve">Ποιος οργανισμός της ΕΕ στηρίζει κυρίως τις ΜΜΕ στον τομέα της </w:t>
            </w:r>
            <w:proofErr w:type="spellStart"/>
            <w:r w:rsidRPr="003F3086">
              <w:rPr>
                <w:b/>
                <w:bCs/>
                <w:lang w:val="el" w:eastAsia="en-GB"/>
              </w:rPr>
              <w:t>κυβερνοασφάλειας</w:t>
            </w:r>
            <w:proofErr w:type="spellEnd"/>
            <w:r w:rsidRPr="003F3086">
              <w:rPr>
                <w:b/>
                <w:bCs/>
                <w:lang w:val="el" w:eastAsia="en-GB"/>
              </w:rPr>
              <w:t>:</w:t>
            </w:r>
          </w:p>
          <w:p w14:paraId="62EACD3A" w14:textId="77777777" w:rsidR="003F3086" w:rsidRP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F3086">
              <w:rPr>
                <w:lang w:val="el" w:eastAsia="en-GB"/>
              </w:rPr>
              <w:t>α</w:t>
            </w:r>
            <w:r w:rsidRPr="00AD6204">
              <w:rPr>
                <w:lang w:val="en-US" w:eastAsia="en-GB"/>
              </w:rPr>
              <w:t>.- EASME</w:t>
            </w:r>
          </w:p>
          <w:p w14:paraId="64D011FE" w14:textId="77777777" w:rsidR="003F3086" w:rsidRP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F3086">
              <w:rPr>
                <w:b/>
                <w:bCs/>
                <w:lang w:val="el" w:eastAsia="en-GB"/>
              </w:rPr>
              <w:t>β</w:t>
            </w:r>
            <w:r w:rsidRPr="00AD6204">
              <w:rPr>
                <w:b/>
                <w:bCs/>
                <w:lang w:val="en-US" w:eastAsia="en-GB"/>
              </w:rPr>
              <w:t>.- ENISA</w:t>
            </w:r>
          </w:p>
          <w:p w14:paraId="1D4F3B01" w14:textId="77777777" w:rsidR="003F3086" w:rsidRP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F3086">
              <w:rPr>
                <w:lang w:val="el" w:eastAsia="en-GB"/>
              </w:rPr>
              <w:t>γ</w:t>
            </w:r>
            <w:r w:rsidRPr="00AD6204">
              <w:rPr>
                <w:lang w:val="en-US" w:eastAsia="en-GB"/>
              </w:rPr>
              <w:t xml:space="preserve">.- </w:t>
            </w:r>
            <w:proofErr w:type="spellStart"/>
            <w:r w:rsidRPr="00AD6204">
              <w:rPr>
                <w:lang w:val="en-US" w:eastAsia="en-GB"/>
              </w:rPr>
              <w:t>Cedefop</w:t>
            </w:r>
            <w:proofErr w:type="spellEnd"/>
          </w:p>
          <w:p w14:paraId="3F425CD3" w14:textId="1E9AD70A" w:rsid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39DEC1E" w14:textId="7066F76C" w:rsidR="003F3086" w:rsidRPr="00AD6204" w:rsidRDefault="003F3086" w:rsidP="003F308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3F3086">
              <w:rPr>
                <w:b/>
                <w:bCs/>
                <w:lang w:val="el" w:eastAsia="en-GB"/>
              </w:rPr>
              <w:t xml:space="preserve">Πώς μπορούν να επωφεληθούν οι ευρωπαϊκές ΜΜΕ από τις δραστηριότητες του ENISA; </w:t>
            </w:r>
          </w:p>
          <w:p w14:paraId="0C782021" w14:textId="77777777" w:rsidR="003F3086" w:rsidRPr="00AD6204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F3086">
              <w:rPr>
                <w:lang w:val="el" w:eastAsia="en-GB"/>
              </w:rPr>
              <w:t>α.- ατομική διαβούλευση μέσω διαδικτύου</w:t>
            </w:r>
          </w:p>
          <w:p w14:paraId="777554BF" w14:textId="77777777" w:rsidR="003F3086" w:rsidRPr="00AD6204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F3086">
              <w:rPr>
                <w:b/>
                <w:bCs/>
                <w:lang w:val="el" w:eastAsia="en-GB"/>
              </w:rPr>
              <w:t>β.- ελεύθερα διαθέσιμο υλικό στον δικτυακό τόπο του ENISA</w:t>
            </w:r>
          </w:p>
          <w:p w14:paraId="6B411D84" w14:textId="77777777" w:rsidR="003F3086" w:rsidRPr="003F3086" w:rsidRDefault="003F3086" w:rsidP="003F308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3F3086">
              <w:rPr>
                <w:lang w:val="el" w:eastAsia="en-GB"/>
              </w:rPr>
              <w:t>γ.- εγγραφή μέλους</w:t>
            </w:r>
          </w:p>
          <w:p w14:paraId="41A84EAB" w14:textId="2F2C362D" w:rsidR="00167735" w:rsidRPr="0075137D" w:rsidRDefault="00167735" w:rsidP="000E25F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Πηγές (βίντεο, σύνδεσμος αναφοράς)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Σχετικό υλικό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37FB602B" w:rsidR="006049C6" w:rsidRPr="001B0D25" w:rsidRDefault="001B0D25" w:rsidP="003F3086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0D25">
              <w:rPr>
                <w:color w:val="000000" w:themeColor="text1"/>
                <w:lang w:val="el"/>
              </w:rPr>
              <w:t>ESMERALD_</w:t>
            </w:r>
            <w:r w:rsidR="003F3086">
              <w:rPr>
                <w:color w:val="000000" w:themeColor="text1"/>
                <w:lang w:val="el"/>
              </w:rPr>
              <w:t>ΚΥΜΠΕΡΣ_IHF</w:t>
            </w:r>
            <w:r w:rsidRPr="001B0D25">
              <w:rPr>
                <w:color w:val="000000" w:themeColor="text1"/>
                <w:lang w:val="el"/>
              </w:rPr>
              <w:t>.pptx</w:t>
            </w:r>
          </w:p>
        </w:tc>
      </w:tr>
      <w:tr w:rsidR="006049C6" w:rsidRPr="003F3086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Βιβλιογραφία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8046C" w14:textId="77777777" w:rsidR="00242741" w:rsidRPr="003F3086" w:rsidRDefault="00242741" w:rsidP="00242741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3F3086">
              <w:rPr>
                <w:rFonts w:asciiTheme="minorHAnsi" w:hAnsiTheme="minorHAnsi" w:cstheme="minorHAnsi"/>
                <w:color w:val="000000" w:themeColor="text1"/>
                <w:lang w:val="en-US"/>
              </w:rPr>
              <w:t>Carrapico</w:t>
            </w:r>
            <w:proofErr w:type="spellEnd"/>
            <w:r w:rsidRPr="003F308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H., &amp; </w:t>
            </w:r>
            <w:proofErr w:type="spellStart"/>
            <w:r w:rsidRPr="003F3086">
              <w:rPr>
                <w:rFonts w:asciiTheme="minorHAnsi" w:hAnsiTheme="minorHAnsi" w:cstheme="minorHAnsi"/>
                <w:color w:val="000000" w:themeColor="text1"/>
                <w:lang w:val="en-US"/>
              </w:rPr>
              <w:t>Farrand</w:t>
            </w:r>
            <w:proofErr w:type="spellEnd"/>
            <w:r w:rsidRPr="003F3086">
              <w:rPr>
                <w:rFonts w:asciiTheme="minorHAnsi" w:hAnsiTheme="minorHAnsi" w:cstheme="minorHAnsi"/>
                <w:color w:val="000000" w:themeColor="text1"/>
                <w:lang w:val="en-US"/>
              </w:rPr>
              <w:t>, B. (2020). Discursive continuity and change in the time of Covid-19: the case of EU cybersecurity policy. </w:t>
            </w:r>
            <w:r w:rsidRPr="003F308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Journal of European Integration</w:t>
            </w:r>
            <w:r w:rsidRPr="003F3086">
              <w:rPr>
                <w:rFonts w:asciiTheme="minorHAnsi" w:hAnsiTheme="minorHAnsi" w:cstheme="minorHAnsi"/>
                <w:color w:val="000000" w:themeColor="text1"/>
                <w:lang w:val="en-US"/>
              </w:rPr>
              <w:t>, </w:t>
            </w:r>
            <w:r w:rsidRPr="003F308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42</w:t>
            </w:r>
            <w:r w:rsidRPr="003F3086">
              <w:rPr>
                <w:rFonts w:asciiTheme="minorHAnsi" w:hAnsiTheme="minorHAnsi" w:cstheme="minorHAnsi"/>
                <w:color w:val="000000" w:themeColor="text1"/>
                <w:lang w:val="en-US"/>
              </w:rPr>
              <w:t>(8), 1111-1126.</w:t>
            </w:r>
          </w:p>
          <w:p w14:paraId="50DEA289" w14:textId="77777777" w:rsidR="00242741" w:rsidRPr="003F3086" w:rsidRDefault="00242741" w:rsidP="00242741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F3086">
              <w:rPr>
                <w:rFonts w:asciiTheme="minorHAnsi" w:hAnsiTheme="minorHAnsi" w:cstheme="minorHAnsi"/>
                <w:color w:val="000000" w:themeColor="text1"/>
                <w:lang w:val="en-US"/>
              </w:rPr>
              <w:t>Christou, G. (2016). </w:t>
            </w:r>
            <w:r w:rsidRPr="003F308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Cybersecurity in the European Union: Resilience and adaptability in governance policy</w:t>
            </w:r>
            <w:r w:rsidRPr="003F3086">
              <w:rPr>
                <w:rFonts w:asciiTheme="minorHAnsi" w:hAnsiTheme="minorHAnsi" w:cstheme="minorHAnsi"/>
                <w:color w:val="000000" w:themeColor="text1"/>
                <w:lang w:val="en-US"/>
              </w:rPr>
              <w:t>. Springer.</w:t>
            </w:r>
          </w:p>
          <w:p w14:paraId="080E52EA" w14:textId="77777777" w:rsidR="00242741" w:rsidRPr="003F3086" w:rsidRDefault="00242741" w:rsidP="00242741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F3086">
              <w:rPr>
                <w:rFonts w:asciiTheme="minorHAnsi" w:hAnsiTheme="minorHAnsi" w:cstheme="minorHAnsi"/>
                <w:color w:val="000000" w:themeColor="text1"/>
                <w:lang w:val="pt-BR"/>
              </w:rPr>
              <w:t>ENISA (2021), Cybersecurity for SMEs</w:t>
            </w:r>
          </w:p>
          <w:p w14:paraId="288F9920" w14:textId="77777777" w:rsidR="00242741" w:rsidRPr="003F3086" w:rsidRDefault="00242741" w:rsidP="00242741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F308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ENISA website, Link: </w:t>
            </w:r>
            <w:hyperlink r:id="rId8" w:history="1">
              <w:r w:rsidRPr="003F3086">
                <w:rPr>
                  <w:rStyle w:val="Hyperlink"/>
                  <w:rFonts w:asciiTheme="minorHAnsi" w:hAnsiTheme="minorHAnsi" w:cstheme="minorHAnsi"/>
                  <w:lang w:val="en-GB"/>
                </w:rPr>
                <w:t>https://www.enisa.europa.eu/</w:t>
              </w:r>
            </w:hyperlink>
            <w:r w:rsidRPr="003F308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  <w:p w14:paraId="27F22A5B" w14:textId="77777777" w:rsidR="00242741" w:rsidRPr="003F3086" w:rsidRDefault="00242741" w:rsidP="00242741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F3086">
              <w:rPr>
                <w:rFonts w:asciiTheme="minorHAnsi" w:hAnsiTheme="minorHAnsi" w:cstheme="minorHAnsi"/>
                <w:color w:val="000000" w:themeColor="text1"/>
                <w:lang w:val="pt-BR"/>
              </w:rPr>
              <w:lastRenderedPageBreak/>
              <w:t>Verizon (2019), Link: </w:t>
            </w:r>
            <w:hyperlink r:id="rId9" w:history="1">
              <w:r w:rsidRPr="003F3086">
                <w:rPr>
                  <w:rStyle w:val="Hyperlink"/>
                  <w:rFonts w:asciiTheme="minorHAnsi" w:hAnsiTheme="minorHAnsi" w:cstheme="minorHAnsi"/>
                  <w:lang w:val="pt-BR"/>
                </w:rPr>
                <w:t>https://</w:t>
              </w:r>
            </w:hyperlink>
            <w:hyperlink r:id="rId10" w:history="1">
              <w:r w:rsidRPr="003F3086">
                <w:rPr>
                  <w:rStyle w:val="Hyperlink"/>
                  <w:rFonts w:asciiTheme="minorHAnsi" w:hAnsiTheme="minorHAnsi" w:cstheme="minorHAnsi"/>
                  <w:lang w:val="pt-BR"/>
                </w:rPr>
                <w:t>enterprise.verizon.com/resources/reports/dbir</w:t>
              </w:r>
            </w:hyperlink>
          </w:p>
          <w:p w14:paraId="15D24FED" w14:textId="104FB4B6" w:rsidR="003F3086" w:rsidRPr="00167735" w:rsidRDefault="00242741" w:rsidP="00242741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F3086">
              <w:rPr>
                <w:rFonts w:asciiTheme="minorHAnsi" w:hAnsiTheme="minorHAnsi" w:cstheme="minorHAnsi"/>
                <w:color w:val="000000" w:themeColor="text1"/>
                <w:lang w:val="en-US"/>
              </w:rPr>
              <w:t>Whyte, C. (2021). European Union: Policy, cohesion, and supranational experiences with cybersecurity. In </w:t>
            </w:r>
            <w:r w:rsidRPr="003F3086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Routledge Companion to Global Cyber-Security Strategy</w:t>
            </w:r>
            <w:r w:rsidRPr="003F3086">
              <w:rPr>
                <w:rFonts w:asciiTheme="minorHAnsi" w:hAnsiTheme="minorHAnsi" w:cstheme="minorHAnsi"/>
                <w:color w:val="000000" w:themeColor="text1"/>
                <w:lang w:val="en-US"/>
              </w:rPr>
              <w:t> (pp. 201-210). Routledge.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Παρέχεται από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09F18F72" w:rsidR="006049C6" w:rsidRPr="00EE1335" w:rsidRDefault="00242741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242741">
              <w:rPr>
                <w:color w:val="000000" w:themeColor="text1"/>
                <w:lang w:val="el"/>
              </w:rPr>
              <w:t>IHF</w:t>
            </w:r>
          </w:p>
        </w:tc>
      </w:tr>
    </w:tbl>
    <w:p w14:paraId="4CFF9A88" w14:textId="10F05598" w:rsidR="00A4144D" w:rsidRPr="005C508D" w:rsidRDefault="00000000" w:rsidP="000E25F5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E0CC" w14:textId="77777777" w:rsidR="00CE3DA8" w:rsidRDefault="00CE3DA8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05E2DCC8" w14:textId="77777777" w:rsidR="00CE3DA8" w:rsidRDefault="00CE3DA8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e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AD6204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-GR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Με την υποστήριξη του Προγράμματος </w:t>
                          </w:r>
                          <w:proofErr w:type="spellStart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>Erasmus</w:t>
                          </w:r>
                          <w:proofErr w:type="spellEnd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AD6204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l-GR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Με την υποστήριξη του Προγράμματος </w:t>
                    </w:r>
                    <w:proofErr w:type="spell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>Erasmus</w:t>
                    </w:r>
                    <w:proofErr w:type="spell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C669" w14:textId="77777777" w:rsidR="00CE3DA8" w:rsidRDefault="00CE3DA8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38809D0C" w14:textId="77777777" w:rsidR="00CE3DA8" w:rsidRDefault="00CE3DA8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A13" w14:textId="0E341C4C" w:rsidR="00AD6204" w:rsidRPr="00AD6204" w:rsidRDefault="005D3D97" w:rsidP="00AD6204">
    <w:pPr>
      <w:jc w:val="center"/>
      <w:rPr>
        <w:b/>
        <w:bCs/>
        <w:noProof/>
        <w:lang w:val="el"/>
      </w:rPr>
    </w:pPr>
    <w:r w:rsidRPr="000C31A9">
      <w:rPr>
        <w:b/>
        <w:bCs/>
        <w:noProof/>
        <w:lang w:val="el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204" w:rsidRPr="00AD6204">
      <w:t xml:space="preserve"> </w:t>
    </w:r>
    <w:r w:rsidR="00AD6204" w:rsidRPr="00AD6204">
      <w:rPr>
        <w:b/>
        <w:bCs/>
        <w:noProof/>
        <w:lang w:val="el"/>
      </w:rPr>
      <w:t>Ενίσχυση της ανθεκτικότητας των ΜΜΕ</w:t>
    </w:r>
  </w:p>
  <w:p w14:paraId="19B5FC66" w14:textId="4CE527C9" w:rsidR="005D3D97" w:rsidRPr="00AD6204" w:rsidRDefault="00AD6204" w:rsidP="00AD6204">
    <w:pPr>
      <w:jc w:val="center"/>
      <w:rPr>
        <w:rFonts w:ascii="Bahnschrift SemiLight" w:hAnsi="Bahnschrift SemiLight"/>
        <w:b/>
        <w:bCs/>
        <w:lang w:val="el-GR"/>
      </w:rPr>
    </w:pPr>
    <w:r w:rsidRPr="00AD6204">
      <w:rPr>
        <w:b/>
        <w:bCs/>
        <w:noProof/>
        <w:lang w:val="el"/>
      </w:rPr>
      <w:t>μετά τα περιοριστικά μέτρα (lock-down)</w:t>
    </w:r>
  </w:p>
  <w:p w14:paraId="635AD7A1" w14:textId="002E3C0C" w:rsidR="005D3D97" w:rsidRDefault="005D3D97" w:rsidP="00AD6204">
    <w:pPr>
      <w:jc w:val="center"/>
    </w:pPr>
    <w:r w:rsidRPr="000C31A9">
      <w:rPr>
        <w:b/>
        <w:bCs/>
        <w:color w:val="0CA373"/>
        <w:lang w:val="el"/>
      </w:rPr>
      <w:t>www.esmerald.eu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FCC"/>
    <w:multiLevelType w:val="hybridMultilevel"/>
    <w:tmpl w:val="761A5F4A"/>
    <w:lvl w:ilvl="0" w:tplc="18A8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3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EB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AA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3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4F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21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E5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A9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F432B"/>
    <w:multiLevelType w:val="hybridMultilevel"/>
    <w:tmpl w:val="F800B06C"/>
    <w:lvl w:ilvl="0" w:tplc="CA7EC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21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6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0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29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C8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EF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82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64301"/>
    <w:multiLevelType w:val="multilevel"/>
    <w:tmpl w:val="7A988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26F78"/>
    <w:multiLevelType w:val="hybridMultilevel"/>
    <w:tmpl w:val="38B85978"/>
    <w:lvl w:ilvl="0" w:tplc="DC8A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CB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01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C0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6C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45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A0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AF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50631"/>
    <w:multiLevelType w:val="hybridMultilevel"/>
    <w:tmpl w:val="91807F28"/>
    <w:lvl w:ilvl="0" w:tplc="97786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8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03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E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02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5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9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CA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A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05C07"/>
    <w:multiLevelType w:val="hybridMultilevel"/>
    <w:tmpl w:val="87C287A4"/>
    <w:lvl w:ilvl="0" w:tplc="3788A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AE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E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E6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8E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81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0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00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2D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C5679"/>
    <w:multiLevelType w:val="hybridMultilevel"/>
    <w:tmpl w:val="2B8C17FA"/>
    <w:lvl w:ilvl="0" w:tplc="3F60C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66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4B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2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41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67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84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4F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44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334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536200">
    <w:abstractNumId w:val="6"/>
  </w:num>
  <w:num w:numId="3" w16cid:durableId="344212548">
    <w:abstractNumId w:val="0"/>
  </w:num>
  <w:num w:numId="4" w16cid:durableId="1573392932">
    <w:abstractNumId w:val="7"/>
  </w:num>
  <w:num w:numId="5" w16cid:durableId="1219173197">
    <w:abstractNumId w:val="14"/>
  </w:num>
  <w:num w:numId="6" w16cid:durableId="1759985767">
    <w:abstractNumId w:val="9"/>
  </w:num>
  <w:num w:numId="7" w16cid:durableId="1730684013">
    <w:abstractNumId w:val="3"/>
  </w:num>
  <w:num w:numId="8" w16cid:durableId="1912108746">
    <w:abstractNumId w:val="8"/>
  </w:num>
  <w:num w:numId="9" w16cid:durableId="1412044687">
    <w:abstractNumId w:val="12"/>
  </w:num>
  <w:num w:numId="10" w16cid:durableId="21824243">
    <w:abstractNumId w:val="5"/>
  </w:num>
  <w:num w:numId="11" w16cid:durableId="546643244">
    <w:abstractNumId w:val="16"/>
  </w:num>
  <w:num w:numId="12" w16cid:durableId="991329155">
    <w:abstractNumId w:val="2"/>
  </w:num>
  <w:num w:numId="13" w16cid:durableId="211382484">
    <w:abstractNumId w:val="1"/>
  </w:num>
  <w:num w:numId="14" w16cid:durableId="2046632825">
    <w:abstractNumId w:val="15"/>
  </w:num>
  <w:num w:numId="15" w16cid:durableId="1743717999">
    <w:abstractNumId w:val="13"/>
  </w:num>
  <w:num w:numId="16" w16cid:durableId="189955136">
    <w:abstractNumId w:val="4"/>
  </w:num>
  <w:num w:numId="17" w16cid:durableId="957905536">
    <w:abstractNumId w:val="10"/>
  </w:num>
  <w:num w:numId="18" w16cid:durableId="2590259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C1397"/>
    <w:rsid w:val="000C31A9"/>
    <w:rsid w:val="000E25F5"/>
    <w:rsid w:val="000F62D0"/>
    <w:rsid w:val="00106E59"/>
    <w:rsid w:val="00167735"/>
    <w:rsid w:val="00176774"/>
    <w:rsid w:val="001B0D25"/>
    <w:rsid w:val="001B7C17"/>
    <w:rsid w:val="00242741"/>
    <w:rsid w:val="0026414E"/>
    <w:rsid w:val="002A018E"/>
    <w:rsid w:val="003F3086"/>
    <w:rsid w:val="00505F0E"/>
    <w:rsid w:val="005519F6"/>
    <w:rsid w:val="005C508D"/>
    <w:rsid w:val="005C764F"/>
    <w:rsid w:val="005D3D97"/>
    <w:rsid w:val="005F5748"/>
    <w:rsid w:val="006049C6"/>
    <w:rsid w:val="006975E6"/>
    <w:rsid w:val="006F1399"/>
    <w:rsid w:val="00704D4C"/>
    <w:rsid w:val="007056E7"/>
    <w:rsid w:val="0075137D"/>
    <w:rsid w:val="00766537"/>
    <w:rsid w:val="00774CCE"/>
    <w:rsid w:val="007F082C"/>
    <w:rsid w:val="00817BFA"/>
    <w:rsid w:val="00876FE1"/>
    <w:rsid w:val="008E2D90"/>
    <w:rsid w:val="00945ED9"/>
    <w:rsid w:val="009621A6"/>
    <w:rsid w:val="00964839"/>
    <w:rsid w:val="009D3E93"/>
    <w:rsid w:val="009E1AC0"/>
    <w:rsid w:val="00A43ECC"/>
    <w:rsid w:val="00AD6204"/>
    <w:rsid w:val="00B206EA"/>
    <w:rsid w:val="00B25467"/>
    <w:rsid w:val="00B64E9C"/>
    <w:rsid w:val="00BB3B96"/>
    <w:rsid w:val="00C17ABD"/>
    <w:rsid w:val="00CE3DA8"/>
    <w:rsid w:val="00CE4C23"/>
    <w:rsid w:val="00D26878"/>
    <w:rsid w:val="00D87393"/>
    <w:rsid w:val="00EE1335"/>
    <w:rsid w:val="00FC5009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34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B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D6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6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3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77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52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3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55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2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3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1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06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00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isa.europa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terprise.verizon.com/resources/reports/db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terprise.verizon.com/resources/reports/dbi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41C2-DF7F-43D1-BC15-7E199AD9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Anastasios Diamantidis</cp:lastModifiedBy>
  <cp:revision>2</cp:revision>
  <dcterms:created xsi:type="dcterms:W3CDTF">2022-06-28T08:45:00Z</dcterms:created>
  <dcterms:modified xsi:type="dcterms:W3CDTF">2022-11-03T19:59:00Z</dcterms:modified>
  <cp:category/>
</cp:coreProperties>
</file>