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6671C9AA" w:rsidR="006049C6" w:rsidRPr="00D5134E" w:rsidRDefault="000C488F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>
        <w:rPr>
          <w:b/>
          <w:bCs/>
          <w:color w:val="0CA373"/>
          <w:sz w:val="36"/>
          <w:szCs w:val="36"/>
          <w:lang w:val="it"/>
        </w:rPr>
        <w:t>Scheda formativa</w:t>
      </w:r>
    </w:p>
    <w:tbl>
      <w:tblPr>
        <w:tblStyle w:val="Grigliatabel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1959"/>
        <w:gridCol w:w="3542"/>
        <w:gridCol w:w="1136"/>
      </w:tblGrid>
      <w:tr w:rsidR="006049C6" w:rsidRPr="00D5134E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D5134E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Titolo</w:t>
            </w:r>
            <w:r w:rsidRPr="00D5134E">
              <w:rPr>
                <w:b/>
                <w:bCs/>
                <w:color w:val="FFFFFF" w:themeColor="background1"/>
                <w:lang w:val="it" w:eastAsia="en-GB"/>
              </w:rPr>
              <w:tab/>
            </w:r>
            <w:r w:rsidRPr="00D5134E">
              <w:rPr>
                <w:b/>
                <w:bCs/>
                <w:color w:val="FFFFFF" w:themeColor="background1"/>
                <w:lang w:val="it" w:eastAsia="en-GB"/>
              </w:rPr>
              <w:tab/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13F59AEB" w:rsidR="006049C6" w:rsidRPr="000C488F" w:rsidRDefault="00CF4AA2" w:rsidP="00D5134E">
            <w:pPr>
              <w:tabs>
                <w:tab w:val="left" w:pos="1157"/>
              </w:tabs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</w:pPr>
            <w:r w:rsidRPr="00D5134E">
              <w:rPr>
                <w:b/>
                <w:bCs/>
                <w:color w:val="1F3864" w:themeColor="accent1" w:themeShade="80"/>
                <w:lang w:val="it"/>
              </w:rPr>
              <w:tab/>
            </w:r>
            <w:r w:rsidR="00D5134E" w:rsidRPr="00D5134E">
              <w:rPr>
                <w:b/>
                <w:bCs/>
                <w:color w:val="1F3864" w:themeColor="accent1" w:themeShade="80"/>
                <w:lang w:val="it"/>
              </w:rPr>
              <w:t>Aumentare il livello del servizio clienti</w:t>
            </w:r>
          </w:p>
        </w:tc>
      </w:tr>
      <w:tr w:rsidR="006049C6" w:rsidRPr="00D5134E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Parole chiave (meta tag)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78649B0A" w:rsidR="006049C6" w:rsidRPr="000C488F" w:rsidRDefault="00D5134E" w:rsidP="00D5134E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5134E">
              <w:rPr>
                <w:color w:val="1F3864" w:themeColor="accent1" w:themeShade="80"/>
                <w:lang w:val="it"/>
              </w:rPr>
              <w:t xml:space="preserve">servizio clienti; determinare i bisogni; digitale; non digitale </w:t>
            </w:r>
          </w:p>
        </w:tc>
      </w:tr>
      <w:tr w:rsidR="006049C6" w:rsidRPr="00D5134E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Lingua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59D0E18D" w:rsidR="006049C6" w:rsidRPr="00D5134E" w:rsidRDefault="005C47DF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D5134E">
              <w:rPr>
                <w:color w:val="1F3864" w:themeColor="accent1" w:themeShade="80"/>
                <w:lang w:val="it"/>
              </w:rPr>
              <w:t>Inglese</w:t>
            </w:r>
          </w:p>
        </w:tc>
      </w:tr>
      <w:tr w:rsidR="006049C6" w:rsidRPr="00D5134E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17E69B1C" w:rsidR="006049C6" w:rsidRPr="000B07B4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 xml:space="preserve">Obiettivi / </w:t>
            </w:r>
            <w:r w:rsidR="000C488F">
              <w:rPr>
                <w:b/>
                <w:bCs/>
                <w:color w:val="FFFFFF" w:themeColor="background1"/>
                <w:lang w:val="it" w:eastAsia="en-GB"/>
              </w:rPr>
              <w:t xml:space="preserve">Finalità </w:t>
            </w:r>
            <w:r w:rsidRPr="00D5134E">
              <w:rPr>
                <w:b/>
                <w:bCs/>
                <w:color w:val="FFFFFF" w:themeColor="background1"/>
                <w:lang w:val="it" w:eastAsia="en-GB"/>
              </w:rPr>
              <w:t>/ Risultati</w:t>
            </w:r>
            <w:r w:rsidR="000C488F">
              <w:rPr>
                <w:b/>
                <w:bCs/>
                <w:color w:val="FFFFFF" w:themeColor="background1"/>
                <w:lang w:val="it" w:eastAsia="en-GB"/>
              </w:rPr>
              <w:t xml:space="preserve"> </w:t>
            </w:r>
            <w:r w:rsidR="002A1135">
              <w:rPr>
                <w:b/>
                <w:bCs/>
                <w:color w:val="FFFFFF" w:themeColor="background1"/>
                <w:lang w:val="it" w:eastAsia="en-GB"/>
              </w:rPr>
              <w:t>di</w:t>
            </w:r>
            <w:r w:rsidR="000C488F">
              <w:rPr>
                <w:b/>
                <w:bCs/>
                <w:color w:val="FFFFFF" w:themeColor="background1"/>
                <w:lang w:val="it" w:eastAsia="en-GB"/>
              </w:rPr>
              <w:t xml:space="preserve"> </w:t>
            </w:r>
            <w:r w:rsidRPr="00D5134E">
              <w:rPr>
                <w:b/>
                <w:bCs/>
                <w:color w:val="FFFFFF" w:themeColor="background1"/>
                <w:lang w:val="it" w:eastAsia="en-GB"/>
              </w:rPr>
              <w:t>Apprendimento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5E8FD" w14:textId="5044E563" w:rsidR="00DB0975" w:rsidRPr="000C488F" w:rsidRDefault="00DB0975" w:rsidP="00DB0975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5134E">
              <w:rPr>
                <w:color w:val="1F3864" w:themeColor="accent1" w:themeShade="80"/>
                <w:lang w:val="it"/>
              </w:rPr>
              <w:t xml:space="preserve">Al termine della sessione gli studenti saranno in grado di: </w:t>
            </w:r>
          </w:p>
          <w:p w14:paraId="7E20F3C2" w14:textId="3AF63155" w:rsidR="00D5134E" w:rsidRPr="000C488F" w:rsidRDefault="00D5134E" w:rsidP="00DB0975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  <w:p w14:paraId="6A08261F" w14:textId="255297DD" w:rsidR="00DB0975" w:rsidRPr="000C488F" w:rsidRDefault="00DB0975" w:rsidP="00A814EA">
            <w:pPr>
              <w:spacing w:line="240" w:lineRule="auto"/>
              <w:ind w:left="1201" w:hanging="493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5134E">
              <w:rPr>
                <w:color w:val="1F3864" w:themeColor="accent1" w:themeShade="80"/>
                <w:lang w:val="it"/>
              </w:rPr>
              <w:t>LO1: Comprendere le esigenze dei clienti.</w:t>
            </w:r>
          </w:p>
          <w:p w14:paraId="55AB68E6" w14:textId="029F4486" w:rsidR="00DB0975" w:rsidRPr="000C488F" w:rsidRDefault="00DB0975" w:rsidP="00760BB1">
            <w:pPr>
              <w:spacing w:line="240" w:lineRule="auto"/>
              <w:ind w:left="1201" w:hanging="493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5134E">
              <w:rPr>
                <w:color w:val="1F3864" w:themeColor="accent1" w:themeShade="80"/>
                <w:lang w:val="it"/>
              </w:rPr>
              <w:t xml:space="preserve">LO2: </w:t>
            </w:r>
            <w:r w:rsidR="000B07B4">
              <w:rPr>
                <w:color w:val="1F3864" w:themeColor="accent1" w:themeShade="80"/>
                <w:lang w:val="it"/>
              </w:rPr>
              <w:t>Fare un f</w:t>
            </w:r>
            <w:r w:rsidRPr="00D5134E">
              <w:rPr>
                <w:color w:val="1F3864" w:themeColor="accent1" w:themeShade="80"/>
                <w:lang w:val="it"/>
              </w:rPr>
              <w:t>ocus sulle esigenze del cliente</w:t>
            </w:r>
            <w:r w:rsidR="000B07B4">
              <w:rPr>
                <w:color w:val="1F3864" w:themeColor="accent1" w:themeShade="80"/>
                <w:lang w:val="it"/>
              </w:rPr>
              <w:t>.</w:t>
            </w:r>
          </w:p>
          <w:p w14:paraId="2BE42024" w14:textId="65DA4BEA" w:rsidR="00DB0975" w:rsidRPr="000B07B4" w:rsidRDefault="00DB0975" w:rsidP="00DB0975">
            <w:pPr>
              <w:spacing w:line="240" w:lineRule="auto"/>
              <w:ind w:firstLine="708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5134E">
              <w:rPr>
                <w:color w:val="1F3864" w:themeColor="accent1" w:themeShade="80"/>
                <w:lang w:val="it"/>
              </w:rPr>
              <w:t xml:space="preserve">LO3: </w:t>
            </w:r>
            <w:r w:rsidR="000B07B4">
              <w:rPr>
                <w:color w:val="1F3864" w:themeColor="accent1" w:themeShade="80"/>
                <w:lang w:val="it"/>
              </w:rPr>
              <w:t>I</w:t>
            </w:r>
            <w:r w:rsidR="000B07B4" w:rsidRPr="000B07B4">
              <w:rPr>
                <w:color w:val="1F3864" w:themeColor="accent1" w:themeShade="80"/>
                <w:lang w:val="it"/>
              </w:rPr>
              <w:t>dentificazione di ciò che è "sufficiente" al servizio clienti</w:t>
            </w:r>
            <w:r w:rsidR="000B07B4">
              <w:rPr>
                <w:color w:val="1F3864" w:themeColor="accent1" w:themeShade="80"/>
                <w:lang w:val="it"/>
              </w:rPr>
              <w:t>.</w:t>
            </w:r>
          </w:p>
          <w:p w14:paraId="3E0ADB40" w14:textId="60BC82E3" w:rsidR="006049C6" w:rsidRPr="000C488F" w:rsidRDefault="00DB0975" w:rsidP="00D5134E">
            <w:pPr>
              <w:spacing w:line="240" w:lineRule="auto"/>
              <w:ind w:left="1111" w:hanging="403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5134E">
              <w:rPr>
                <w:color w:val="1F3864" w:themeColor="accent1" w:themeShade="80"/>
                <w:lang w:val="it"/>
              </w:rPr>
              <w:t>LO4: Separare il servizio clienti digitale da quello non digitale.</w:t>
            </w:r>
          </w:p>
        </w:tc>
      </w:tr>
      <w:tr w:rsidR="006049C6" w:rsidRPr="00D5134E" w14:paraId="5EBD9948" w14:textId="77777777" w:rsidTr="006049C6"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4E22A157" w:rsidR="006049C6" w:rsidRPr="000C488F" w:rsidRDefault="000B07B4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b/>
                <w:bCs/>
                <w:color w:val="FFFFFF" w:themeColor="background1"/>
                <w:lang w:val="it" w:eastAsia="en-GB"/>
              </w:rPr>
              <w:t>Area formativa</w:t>
            </w:r>
            <w:r w:rsidR="006049C6" w:rsidRPr="00D5134E">
              <w:rPr>
                <w:b/>
                <w:bCs/>
                <w:color w:val="FFFFFF" w:themeColor="background1"/>
                <w:lang w:val="it" w:eastAsia="en-GB"/>
              </w:rPr>
              <w:t>: (Selezionane una)</w:t>
            </w:r>
          </w:p>
        </w:tc>
      </w:tr>
      <w:tr w:rsidR="006049C6" w:rsidRPr="00D5134E" w14:paraId="6A40FB26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CFE8362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0C488F">
              <w:rPr>
                <w:b/>
                <w:bCs/>
                <w:lang w:val="en-US" w:eastAsia="en-GB"/>
              </w:rPr>
              <w:t xml:space="preserve">Online / </w:t>
            </w:r>
            <w:r w:rsidR="000B07B4">
              <w:rPr>
                <w:b/>
                <w:bCs/>
                <w:lang w:val="en-US" w:eastAsia="en-GB"/>
              </w:rPr>
              <w:t>Digital Marketing</w:t>
            </w:r>
            <w:r w:rsidRPr="000C488F">
              <w:rPr>
                <w:b/>
                <w:bCs/>
                <w:lang w:val="en-US" w:eastAsia="en-GB"/>
              </w:rPr>
              <w:t xml:space="preserve"> / Cyber-Security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3DB77CB6" w:rsidR="006049C6" w:rsidRPr="00D5134E" w:rsidRDefault="00D5134E" w:rsidP="00D5134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X</w:t>
            </w:r>
          </w:p>
        </w:tc>
      </w:tr>
      <w:tr w:rsidR="006049C6" w:rsidRPr="00D5134E" w14:paraId="51EB1597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it" w:eastAsia="en-GB"/>
              </w:rPr>
              <w:t>E-Commerce / Finanziamenti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5134E" w14:paraId="1597E55E" w14:textId="77777777" w:rsidTr="002F45CB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it" w:eastAsia="en-GB"/>
              </w:rPr>
              <w:t>Benessere digitale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</w:tcPr>
          <w:p w14:paraId="453B78D9" w14:textId="0284DA4D" w:rsidR="006049C6" w:rsidRPr="00D5134E" w:rsidRDefault="006049C6" w:rsidP="00D5134E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5134E" w14:paraId="60C30E45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it" w:eastAsia="en-GB"/>
              </w:rPr>
              <w:t>Smart work / Nomadi digitali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5134E" w14:paraId="1F1E48C0" w14:textId="77777777" w:rsidTr="000B07B4">
        <w:trPr>
          <w:trHeight w:val="207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Descrizione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79CB" w14:textId="63883516" w:rsidR="006049C6" w:rsidRPr="000C488F" w:rsidRDefault="00D5134E" w:rsidP="000B07B4">
            <w:pPr>
              <w:pStyle w:val="Paragrafoelenco"/>
              <w:spacing w:after="0" w:line="240" w:lineRule="auto"/>
              <w:ind w:left="31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>
              <w:rPr>
                <w:b/>
                <w:bCs/>
                <w:lang w:val="it" w:eastAsia="en-GB"/>
              </w:rPr>
              <w:t xml:space="preserve">Questa sessione è focalizzata sulla valutazione dei sempre crescenti requisiti di servizio clienti </w:t>
            </w:r>
            <w:r w:rsidR="006421DC">
              <w:rPr>
                <w:b/>
                <w:bCs/>
                <w:lang w:val="it" w:eastAsia="en-GB"/>
              </w:rPr>
              <w:t>pre e post acquisto</w:t>
            </w:r>
            <w:r w:rsidR="000B07B4">
              <w:rPr>
                <w:b/>
                <w:bCs/>
                <w:lang w:val="it" w:eastAsia="en-GB"/>
              </w:rPr>
              <w:t>, sia</w:t>
            </w:r>
            <w:r w:rsidR="006421DC">
              <w:rPr>
                <w:b/>
                <w:bCs/>
                <w:lang w:val="it" w:eastAsia="en-GB"/>
              </w:rPr>
              <w:t xml:space="preserve"> </w:t>
            </w:r>
            <w:r>
              <w:rPr>
                <w:b/>
                <w:bCs/>
                <w:lang w:val="it" w:eastAsia="en-GB"/>
              </w:rPr>
              <w:t>di clienti digitali</w:t>
            </w:r>
            <w:r w:rsidR="000B07B4">
              <w:rPr>
                <w:b/>
                <w:bCs/>
                <w:lang w:val="it" w:eastAsia="en-GB"/>
              </w:rPr>
              <w:t xml:space="preserve"> sia</w:t>
            </w:r>
            <w:r>
              <w:rPr>
                <w:b/>
                <w:bCs/>
                <w:lang w:val="it" w:eastAsia="en-GB"/>
              </w:rPr>
              <w:t xml:space="preserve"> non digitali.  Oggi i clienti sono più consapevoli dei servizi forniti dai fornitori e il </w:t>
            </w:r>
            <w:r w:rsidR="006421DC">
              <w:rPr>
                <w:b/>
                <w:bCs/>
                <w:lang w:val="it" w:eastAsia="en-GB"/>
              </w:rPr>
              <w:t>più delle volte prendono una decisione basata su questo</w:t>
            </w:r>
            <w:r>
              <w:rPr>
                <w:b/>
                <w:bCs/>
                <w:lang w:val="it" w:eastAsia="en-GB"/>
              </w:rPr>
              <w:t xml:space="preserve">.  </w:t>
            </w:r>
            <w:r w:rsidR="006421DC">
              <w:rPr>
                <w:b/>
                <w:bCs/>
                <w:lang w:val="it" w:eastAsia="en-GB"/>
              </w:rPr>
              <w:t>Saranno esaminati sia il servizio clienti digitale che quello non digitale, nonché i modi per identificare le esigenze dei clienti e integrarle nelle offerte proposte.</w:t>
            </w:r>
          </w:p>
        </w:tc>
      </w:tr>
      <w:tr w:rsidR="006049C6" w:rsidRPr="00D5134E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3534BF5C" w:rsidR="006049C6" w:rsidRPr="00D5134E" w:rsidRDefault="006049C6" w:rsidP="004B2C8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 xml:space="preserve">Contenuti disposti in </w:t>
            </w:r>
            <w:proofErr w:type="gramStart"/>
            <w:r w:rsidR="004B2C82">
              <w:rPr>
                <w:b/>
                <w:bCs/>
                <w:color w:val="FFFFFF" w:themeColor="background1"/>
                <w:lang w:val="it" w:eastAsia="en-GB"/>
              </w:rPr>
              <w:t>4</w:t>
            </w:r>
            <w:proofErr w:type="gramEnd"/>
            <w:r w:rsidRPr="00D5134E">
              <w:rPr>
                <w:b/>
                <w:bCs/>
                <w:color w:val="FFFFFF" w:themeColor="background1"/>
                <w:lang w:val="it" w:eastAsia="en-GB"/>
              </w:rPr>
              <w:t xml:space="preserve"> livelli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777FC" w14:textId="732D220B" w:rsidR="006049C6" w:rsidRPr="000C488F" w:rsidRDefault="006049C6" w:rsidP="00755784">
            <w:pPr>
              <w:pStyle w:val="Paragrafoelenco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FC1A83">
              <w:rPr>
                <w:b/>
                <w:bCs/>
                <w:lang w:val="it" w:eastAsia="en-GB"/>
              </w:rPr>
              <w:t>Nome del modulo: aument</w:t>
            </w:r>
            <w:r w:rsidR="000B07B4">
              <w:rPr>
                <w:b/>
                <w:bCs/>
                <w:lang w:val="it" w:eastAsia="en-GB"/>
              </w:rPr>
              <w:t>are i</w:t>
            </w:r>
            <w:r w:rsidRPr="00FC1A83">
              <w:rPr>
                <w:b/>
                <w:bCs/>
                <w:lang w:val="it" w:eastAsia="en-GB"/>
              </w:rPr>
              <w:t>l livello del servizio clienti</w:t>
            </w:r>
          </w:p>
          <w:p w14:paraId="5082C6DA" w14:textId="77777777" w:rsidR="006049C6" w:rsidRPr="000C488F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4137DE6" w14:textId="539200EB" w:rsidR="006049C6" w:rsidRPr="000C488F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D5134E">
              <w:rPr>
                <w:b/>
                <w:bCs/>
                <w:lang w:val="it" w:eastAsia="en-GB"/>
              </w:rPr>
              <w:t xml:space="preserve">1 Nome dell'unità: </w:t>
            </w:r>
            <w:r w:rsidR="006421DC">
              <w:rPr>
                <w:b/>
                <w:bCs/>
                <w:lang w:val="it" w:eastAsia="en-GB"/>
              </w:rPr>
              <w:t>Comprendere le esigenze dei clienti</w:t>
            </w:r>
          </w:p>
          <w:p w14:paraId="3AD1BF31" w14:textId="1A0CC8B2" w:rsidR="006049C6" w:rsidRPr="000C488F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lang w:val="it" w:eastAsia="en-GB"/>
              </w:rPr>
              <w:t xml:space="preserve">1.1 </w:t>
            </w:r>
            <w:r w:rsidR="004B2C82">
              <w:rPr>
                <w:lang w:val="it" w:eastAsia="en-GB"/>
              </w:rPr>
              <w:t>Definizione delle esigenze dei clienti</w:t>
            </w:r>
          </w:p>
          <w:p w14:paraId="1BA07E17" w14:textId="6EE08143" w:rsidR="006049C6" w:rsidRPr="000C488F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lang w:val="it" w:eastAsia="en-GB"/>
              </w:rPr>
              <w:t xml:space="preserve">1.2 </w:t>
            </w:r>
            <w:r w:rsidR="004B2C82">
              <w:rPr>
                <w:lang w:val="it" w:eastAsia="en-GB"/>
              </w:rPr>
              <w:t>Tipi di esigenze del cliente</w:t>
            </w:r>
          </w:p>
          <w:p w14:paraId="0637D48E" w14:textId="77777777" w:rsidR="006049C6" w:rsidRPr="000C488F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6E1F5C6" w14:textId="349A7E4B" w:rsidR="006049C6" w:rsidRPr="000C488F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b/>
                <w:bCs/>
                <w:lang w:val="it" w:eastAsia="en-GB"/>
              </w:rPr>
              <w:t xml:space="preserve">2 Nome </w:t>
            </w:r>
            <w:r w:rsidR="006421DC">
              <w:rPr>
                <w:b/>
                <w:bCs/>
                <w:lang w:val="it" w:eastAsia="en-GB"/>
              </w:rPr>
              <w:t xml:space="preserve">dell'unità: </w:t>
            </w:r>
            <w:r w:rsidR="000B07B4">
              <w:rPr>
                <w:b/>
                <w:bCs/>
                <w:lang w:val="it" w:eastAsia="en-GB"/>
              </w:rPr>
              <w:t>Fare un f</w:t>
            </w:r>
            <w:r w:rsidR="006421DC">
              <w:rPr>
                <w:b/>
                <w:bCs/>
                <w:lang w:val="it" w:eastAsia="en-GB"/>
              </w:rPr>
              <w:t>ocus sui requisiti del cliente</w:t>
            </w:r>
          </w:p>
          <w:p w14:paraId="459E6A85" w14:textId="679EB259" w:rsidR="006049C6" w:rsidRPr="000C488F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lang w:val="it" w:eastAsia="en-GB"/>
              </w:rPr>
              <w:t xml:space="preserve">2.1 </w:t>
            </w:r>
            <w:r w:rsidR="004B2C82">
              <w:rPr>
                <w:lang w:val="it" w:eastAsia="en-GB"/>
              </w:rPr>
              <w:t>Cosa significa realmente servizio?</w:t>
            </w:r>
          </w:p>
          <w:p w14:paraId="696955FE" w14:textId="2D948F4D" w:rsidR="006049C6" w:rsidRPr="000C488F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lang w:val="it" w:eastAsia="en-GB"/>
              </w:rPr>
              <w:t xml:space="preserve">2.2 </w:t>
            </w:r>
            <w:r w:rsidR="004B2C82">
              <w:rPr>
                <w:lang w:val="it" w:eastAsia="en-GB"/>
              </w:rPr>
              <w:t>Cosa cercano i clienti?</w:t>
            </w:r>
          </w:p>
          <w:p w14:paraId="47B95EB2" w14:textId="77777777" w:rsidR="0056514B" w:rsidRPr="000C488F" w:rsidRDefault="0056514B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1BDBAC6" w14:textId="1566CB4E" w:rsidR="0056514B" w:rsidRPr="000C488F" w:rsidRDefault="0056514B" w:rsidP="0056514B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b/>
                <w:bCs/>
                <w:lang w:val="it" w:eastAsia="en-GB"/>
              </w:rPr>
              <w:t xml:space="preserve">3 Nome dell'unità: </w:t>
            </w:r>
            <w:r w:rsidR="006421DC">
              <w:rPr>
                <w:b/>
                <w:bCs/>
                <w:lang w:val="it" w:eastAsia="en-GB"/>
              </w:rPr>
              <w:t>identificazione di ciò che è "sufficiente" al servizio clienti</w:t>
            </w:r>
          </w:p>
          <w:p w14:paraId="46B33212" w14:textId="35035402" w:rsidR="0056514B" w:rsidRPr="000C488F" w:rsidRDefault="0056514B" w:rsidP="0056514B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lang w:val="it" w:eastAsia="en-GB"/>
              </w:rPr>
              <w:t xml:space="preserve">3.1 </w:t>
            </w:r>
            <w:r w:rsidR="004B2C82">
              <w:rPr>
                <w:lang w:val="it" w:eastAsia="en-GB"/>
              </w:rPr>
              <w:t>Fondamenti del servizio clienti</w:t>
            </w:r>
          </w:p>
          <w:p w14:paraId="1D92F4E2" w14:textId="7331B69E" w:rsidR="006049C6" w:rsidRPr="000C488F" w:rsidRDefault="0056514B" w:rsidP="006421DC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lang w:val="it" w:eastAsia="en-GB"/>
              </w:rPr>
              <w:lastRenderedPageBreak/>
              <w:t xml:space="preserve">3.2 </w:t>
            </w:r>
            <w:r w:rsidR="004B2C82">
              <w:rPr>
                <w:lang w:val="it" w:eastAsia="en-GB"/>
              </w:rPr>
              <w:t>Identificare quando si dispone di un servizio clienti "sufficiente"</w:t>
            </w:r>
          </w:p>
          <w:p w14:paraId="2AD39581" w14:textId="77777777" w:rsidR="006421DC" w:rsidRPr="000C488F" w:rsidRDefault="006421DC" w:rsidP="006421DC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21B35C8" w14:textId="2FC016A0" w:rsidR="006421DC" w:rsidRPr="000C488F" w:rsidRDefault="006421DC" w:rsidP="006421DC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b/>
                <w:bCs/>
                <w:lang w:val="it" w:eastAsia="en-GB"/>
              </w:rPr>
              <w:t>4</w:t>
            </w:r>
            <w:r w:rsidRPr="00D5134E">
              <w:rPr>
                <w:b/>
                <w:bCs/>
                <w:lang w:val="it" w:eastAsia="en-GB"/>
              </w:rPr>
              <w:t xml:space="preserve"> Nome dell'unità: </w:t>
            </w:r>
            <w:r>
              <w:rPr>
                <w:b/>
                <w:bCs/>
                <w:lang w:val="it" w:eastAsia="en-GB"/>
              </w:rPr>
              <w:t>Servizio clienti digitale separato da quello non digitale</w:t>
            </w:r>
          </w:p>
          <w:p w14:paraId="38EAEACF" w14:textId="2233E49C" w:rsidR="006421DC" w:rsidRPr="000C488F" w:rsidRDefault="006421DC" w:rsidP="006421DC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lang w:val="it" w:eastAsia="en-GB"/>
              </w:rPr>
              <w:t xml:space="preserve">4.1 </w:t>
            </w:r>
            <w:r w:rsidR="004B2C82">
              <w:rPr>
                <w:lang w:val="it" w:eastAsia="en-GB"/>
              </w:rPr>
              <w:t>Digitale e non digitale</w:t>
            </w:r>
          </w:p>
          <w:p w14:paraId="0914DDC6" w14:textId="1CE395AE" w:rsidR="006421DC" w:rsidRPr="000C488F" w:rsidRDefault="006421DC" w:rsidP="00FC1A83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</w:rPr>
            </w:pPr>
            <w:r w:rsidRPr="00D5134E">
              <w:rPr>
                <w:lang w:val="it" w:eastAsia="en-GB"/>
              </w:rPr>
              <w:t xml:space="preserve">4.2 Servizio </w:t>
            </w:r>
            <w:r w:rsidR="004B2C82">
              <w:rPr>
                <w:lang w:val="it" w:eastAsia="en-GB"/>
              </w:rPr>
              <w:t>clienti orientato al futuro</w:t>
            </w:r>
          </w:p>
        </w:tc>
      </w:tr>
      <w:tr w:rsidR="006049C6" w:rsidRPr="00D5134E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0C488F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D5134E">
              <w:rPr>
                <w:b/>
                <w:bCs/>
                <w:color w:val="FFFFFF" w:themeColor="background1"/>
                <w:lang w:val="it"/>
              </w:rPr>
              <w:lastRenderedPageBreak/>
              <w:t>Autovalutazione (domande e risposte a scelta multipla)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0C488F" w:rsidRDefault="006049C6" w:rsidP="00B54EBC">
            <w:pPr>
              <w:spacing w:after="0" w:line="240" w:lineRule="auto"/>
              <w:ind w:left="121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  <w:p w14:paraId="049852C2" w14:textId="340A5BC4" w:rsidR="006049C6" w:rsidRPr="000C488F" w:rsidRDefault="00440CCE" w:rsidP="00B54EB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/>
              </w:rPr>
              <w:t xml:space="preserve">Quale delle esigenze del </w:t>
            </w:r>
            <w:r w:rsidR="00DD7FA8">
              <w:rPr>
                <w:lang w:val="it"/>
              </w:rPr>
              <w:t xml:space="preserve">cliente </w:t>
            </w:r>
            <w:r>
              <w:rPr>
                <w:lang w:val="it"/>
              </w:rPr>
              <w:t>di seguito è la più facile da determinare?</w:t>
            </w:r>
          </w:p>
          <w:p w14:paraId="034BC457" w14:textId="454C11F0" w:rsidR="00B54EBC" w:rsidRPr="00440CCE" w:rsidRDefault="00DD7FA8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>
              <w:rPr>
                <w:b/>
                <w:bCs/>
                <w:lang w:val="it" w:eastAsia="en-GB"/>
              </w:rPr>
              <w:t xml:space="preserve"> Esigenze</w:t>
            </w:r>
            <w:r w:rsidR="00440CCE">
              <w:rPr>
                <w:lang w:val="it"/>
              </w:rPr>
              <w:t xml:space="preserve"> funzionali</w:t>
            </w:r>
            <w:r w:rsidR="00440CCE" w:rsidRPr="00440CCE">
              <w:rPr>
                <w:b/>
                <w:bCs/>
                <w:lang w:val="it" w:eastAsia="en-GB"/>
              </w:rPr>
              <w:t>.</w:t>
            </w:r>
          </w:p>
          <w:p w14:paraId="23B0940F" w14:textId="0D68460C" w:rsidR="00B54EBC" w:rsidRPr="00263D3D" w:rsidRDefault="00DD7FA8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it" w:eastAsia="en-GB"/>
              </w:rPr>
              <w:t xml:space="preserve"> Bisogni sociali</w:t>
            </w:r>
            <w:r w:rsidR="00B54EBC" w:rsidRPr="00263D3D">
              <w:rPr>
                <w:lang w:val="it" w:eastAsia="en-GB"/>
              </w:rPr>
              <w:t>.</w:t>
            </w:r>
          </w:p>
          <w:p w14:paraId="5F980071" w14:textId="6D2E41B3" w:rsidR="00B54EBC" w:rsidRPr="00263D3D" w:rsidRDefault="00DD7FA8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it" w:eastAsia="en-GB"/>
              </w:rPr>
              <w:t xml:space="preserve"> Bisogni emotivi</w:t>
            </w:r>
            <w:r w:rsidR="00B54EBC" w:rsidRPr="00263D3D">
              <w:rPr>
                <w:lang w:val="it" w:eastAsia="en-GB"/>
              </w:rPr>
              <w:t>.</w:t>
            </w:r>
          </w:p>
          <w:p w14:paraId="645AF9CC" w14:textId="56B82EE5" w:rsidR="00B54EBC" w:rsidRPr="00985105" w:rsidRDefault="00440CCE" w:rsidP="00FB3FBA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 xml:space="preserve">Tutti </w:t>
            </w:r>
            <w:r w:rsidR="00985105">
              <w:rPr>
                <w:lang w:val="it" w:eastAsia="en-GB"/>
              </w:rPr>
              <w:t>hanno la stessa difficoltà</w:t>
            </w:r>
            <w:r w:rsidR="00B54EBC" w:rsidRPr="00263D3D">
              <w:rPr>
                <w:lang w:val="it" w:eastAsia="en-GB"/>
              </w:rPr>
              <w:t>.</w:t>
            </w:r>
          </w:p>
          <w:p w14:paraId="62AB9AAA" w14:textId="68B52B27" w:rsidR="006049C6" w:rsidRPr="000C488F" w:rsidRDefault="00DD7FA8" w:rsidP="00B54EB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>Quale delle seguenti affermazioni sul servizio clienti è vera?</w:t>
            </w:r>
          </w:p>
          <w:p w14:paraId="19E9AA27" w14:textId="5C701AB8" w:rsidR="00B54EBC" w:rsidRPr="000C488F" w:rsidRDefault="00DD7FA8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>
              <w:rPr>
                <w:bCs/>
                <w:lang w:val="it" w:eastAsia="en-GB"/>
              </w:rPr>
              <w:t>La cultura di un paese non influisce sulle aspettative sul servizio clienti</w:t>
            </w:r>
            <w:r w:rsidR="00B54EBC" w:rsidRPr="00263D3D">
              <w:rPr>
                <w:bCs/>
                <w:lang w:val="it" w:eastAsia="en-GB"/>
              </w:rPr>
              <w:t>.</w:t>
            </w:r>
          </w:p>
          <w:p w14:paraId="4C974519" w14:textId="554EFEE2" w:rsidR="00B54EBC" w:rsidRPr="000C488F" w:rsidRDefault="00DD7FA8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lang w:val="it-IT" w:eastAsia="en-GB"/>
              </w:rPr>
            </w:pPr>
            <w:r w:rsidRPr="00DD7FA8">
              <w:rPr>
                <w:b/>
                <w:lang w:val="it" w:eastAsia="en-GB"/>
              </w:rPr>
              <w:t>Come, quando e dove si svolge il servizio clienti deve essere flessibile.</w:t>
            </w:r>
          </w:p>
          <w:p w14:paraId="746EA892" w14:textId="04C3B7AC" w:rsidR="00B54EBC" w:rsidRPr="000C488F" w:rsidRDefault="00DD7FA8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>Il benchmarking è il modo migliore per determinare se il nostro servizio clienti soddisfa le aspettative.</w:t>
            </w:r>
          </w:p>
          <w:p w14:paraId="76ECF365" w14:textId="2B953D1A" w:rsidR="00B54EBC" w:rsidRPr="000C488F" w:rsidRDefault="00DD7FA8" w:rsidP="00BE60F9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>Tutto quanto</w:t>
            </w:r>
            <w:r w:rsidR="00985105">
              <w:rPr>
                <w:lang w:val="it" w:eastAsia="en-GB"/>
              </w:rPr>
              <w:t xml:space="preserve"> scritto</w:t>
            </w:r>
            <w:r>
              <w:rPr>
                <w:lang w:val="it" w:eastAsia="en-GB"/>
              </w:rPr>
              <w:t xml:space="preserve"> sopra è vero</w:t>
            </w:r>
            <w:r w:rsidR="00B54EBC" w:rsidRPr="00263D3D">
              <w:rPr>
                <w:lang w:val="it" w:eastAsia="en-GB"/>
              </w:rPr>
              <w:t>.</w:t>
            </w:r>
          </w:p>
          <w:p w14:paraId="6C5962D1" w14:textId="208768D5" w:rsidR="006049C6" w:rsidRPr="000C488F" w:rsidRDefault="00C253D6" w:rsidP="0086701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>Al suo livello fondamentale, il servizio clienti riguarda in definitiva</w:t>
            </w:r>
            <w:r w:rsidR="00867016" w:rsidRPr="00263D3D">
              <w:rPr>
                <w:lang w:val="it" w:eastAsia="en-GB"/>
              </w:rPr>
              <w:t>:</w:t>
            </w:r>
          </w:p>
          <w:p w14:paraId="32DA232E" w14:textId="7C874144" w:rsidR="00867016" w:rsidRPr="00263D3D" w:rsidRDefault="00C253D6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bCs/>
                <w:lang w:val="it" w:eastAsia="en-GB"/>
              </w:rPr>
              <w:t>Risolvere i problemi</w:t>
            </w:r>
            <w:r w:rsidR="00867016" w:rsidRPr="00263D3D">
              <w:rPr>
                <w:bCs/>
                <w:lang w:val="it" w:eastAsia="en-GB"/>
              </w:rPr>
              <w:t>.</w:t>
            </w:r>
          </w:p>
          <w:p w14:paraId="0704C60D" w14:textId="6F73D4EA" w:rsidR="00867016" w:rsidRPr="000C488F" w:rsidRDefault="00C253D6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>Vendere di più di tutto ciò che offriamo</w:t>
            </w:r>
            <w:r w:rsidR="00867016" w:rsidRPr="00263D3D">
              <w:rPr>
                <w:lang w:val="it" w:eastAsia="en-GB"/>
              </w:rPr>
              <w:t>.</w:t>
            </w:r>
          </w:p>
          <w:p w14:paraId="07E9C5C1" w14:textId="12A26234" w:rsidR="00867016" w:rsidRPr="000C488F" w:rsidRDefault="001F0D0D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>Identificare le esigenze e i desideri dei clienti</w:t>
            </w:r>
            <w:r w:rsidR="00867016" w:rsidRPr="00263D3D">
              <w:rPr>
                <w:lang w:val="it" w:eastAsia="en-GB"/>
              </w:rPr>
              <w:t>.</w:t>
            </w:r>
          </w:p>
          <w:p w14:paraId="34BF54A1" w14:textId="5C709132" w:rsidR="00867016" w:rsidRPr="00C253D6" w:rsidRDefault="00C253D6" w:rsidP="00E368AE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C253D6">
              <w:rPr>
                <w:b/>
                <w:lang w:val="it" w:eastAsia="en-GB"/>
              </w:rPr>
              <w:t>Costruzione di relazioni.</w:t>
            </w:r>
          </w:p>
          <w:p w14:paraId="3C30DDD1" w14:textId="16C3A182" w:rsidR="006049C6" w:rsidRPr="000C488F" w:rsidRDefault="00263D3D" w:rsidP="0086701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263D3D">
              <w:rPr>
                <w:lang w:val="it"/>
              </w:rPr>
              <w:t>Il futuro del servizio clienti</w:t>
            </w:r>
            <w:r>
              <w:rPr>
                <w:lang w:val="it"/>
              </w:rPr>
              <w:t xml:space="preserve"> sarà</w:t>
            </w:r>
            <w:r w:rsidR="00867016" w:rsidRPr="00263D3D">
              <w:rPr>
                <w:lang w:val="it" w:eastAsia="en-GB"/>
              </w:rPr>
              <w:t>:</w:t>
            </w:r>
          </w:p>
          <w:p w14:paraId="6BAF87ED" w14:textId="6D8A969B" w:rsidR="00867016" w:rsidRPr="00263D3D" w:rsidRDefault="00263D3D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bCs/>
                <w:lang w:val="it" w:eastAsia="en-GB"/>
              </w:rPr>
              <w:t>Guidato digitalmente</w:t>
            </w:r>
          </w:p>
          <w:p w14:paraId="23A62129" w14:textId="4D4B86CB" w:rsidR="00867016" w:rsidRPr="00263D3D" w:rsidRDefault="00263D3D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it" w:eastAsia="en-GB"/>
              </w:rPr>
              <w:t>Personalizzato</w:t>
            </w:r>
          </w:p>
          <w:p w14:paraId="17C1C9BF" w14:textId="78591C4E" w:rsidR="00867016" w:rsidRPr="00263D3D" w:rsidRDefault="00263D3D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it" w:eastAsia="en-GB"/>
              </w:rPr>
              <w:t>Influenzato dall'intelligenza artificiale</w:t>
            </w:r>
          </w:p>
          <w:p w14:paraId="5CF04B88" w14:textId="3983CC0C" w:rsidR="00867016" w:rsidRPr="00263D3D" w:rsidRDefault="00263D3D" w:rsidP="000A0CA1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263D3D">
              <w:rPr>
                <w:b/>
                <w:lang w:val="it" w:eastAsia="en-GB"/>
              </w:rPr>
              <w:t>Tutto quanto sopra</w:t>
            </w:r>
          </w:p>
          <w:p w14:paraId="39BA785D" w14:textId="0C7092B1" w:rsidR="006049C6" w:rsidRPr="00263D3D" w:rsidRDefault="006049C6" w:rsidP="00B54EBC">
            <w:pPr>
              <w:spacing w:after="0" w:line="240" w:lineRule="auto"/>
              <w:ind w:left="12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1A84EAB" w14:textId="77777777" w:rsidR="006049C6" w:rsidRPr="00263D3D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</w:tc>
      </w:tr>
      <w:tr w:rsidR="006049C6" w:rsidRPr="00D5134E" w14:paraId="3B9FB6CD" w14:textId="77777777" w:rsidTr="006049C6">
        <w:trPr>
          <w:trHeight w:val="272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DE5AD2A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0C488F">
              <w:rPr>
                <w:b/>
                <w:bCs/>
                <w:color w:val="FFFFFF" w:themeColor="background1"/>
                <w:lang w:val="en-US"/>
              </w:rPr>
              <w:t>Toolkit (</w:t>
            </w:r>
            <w:proofErr w:type="spellStart"/>
            <w:r w:rsidRPr="000C488F">
              <w:rPr>
                <w:b/>
                <w:bCs/>
                <w:color w:val="FFFFFF" w:themeColor="background1"/>
                <w:lang w:val="en-US"/>
              </w:rPr>
              <w:t>linee</w:t>
            </w:r>
            <w:proofErr w:type="spellEnd"/>
            <w:r w:rsidRPr="000C488F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0C488F">
              <w:rPr>
                <w:b/>
                <w:bCs/>
                <w:color w:val="FFFFFF" w:themeColor="background1"/>
                <w:lang w:val="en-US"/>
              </w:rPr>
              <w:t>guida</w:t>
            </w:r>
            <w:proofErr w:type="spellEnd"/>
            <w:r w:rsidRPr="000C488F">
              <w:rPr>
                <w:b/>
                <w:bCs/>
                <w:color w:val="FFFFFF" w:themeColor="background1"/>
                <w:lang w:val="en-US"/>
              </w:rPr>
              <w:t xml:space="preserve">, best practice, checklist, </w:t>
            </w:r>
            <w:proofErr w:type="spellStart"/>
            <w:r w:rsidRPr="000C488F">
              <w:rPr>
                <w:b/>
                <w:bCs/>
                <w:color w:val="FFFFFF" w:themeColor="background1"/>
                <w:lang w:val="en-US"/>
              </w:rPr>
              <w:t>lezioni</w:t>
            </w:r>
            <w:proofErr w:type="spellEnd"/>
            <w:r w:rsidRPr="000C488F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0C488F">
              <w:rPr>
                <w:b/>
                <w:bCs/>
                <w:color w:val="FFFFFF" w:themeColor="background1"/>
                <w:lang w:val="en-US"/>
              </w:rPr>
              <w:t>apprese</w:t>
            </w:r>
            <w:proofErr w:type="spellEnd"/>
            <w:r w:rsidRPr="000C488F">
              <w:rPr>
                <w:b/>
                <w:bCs/>
                <w:color w:val="FFFFFF" w:themeColor="background1"/>
                <w:lang w:val="en-US"/>
              </w:rPr>
              <w:t xml:space="preserve">...) </w:t>
            </w:r>
            <w:r w:rsidRPr="000C488F">
              <w:rPr>
                <w:b/>
                <w:bCs/>
                <w:color w:val="C00000"/>
                <w:lang w:val="en-US"/>
              </w:rPr>
              <w:t xml:space="preserve"> </w:t>
            </w:r>
            <w:r w:rsidRPr="00D5134E">
              <w:rPr>
                <w:b/>
                <w:bCs/>
                <w:color w:val="C00000"/>
                <w:lang w:val="it"/>
              </w:rPr>
              <w:t>DA UTILIZZARE DA CTS / CASE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F30E06C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/>
              </w:rPr>
              <w:t>Nome</w:t>
            </w:r>
            <w:r w:rsidRPr="00D5134E">
              <w:rPr>
                <w:b/>
                <w:bCs/>
                <w:color w:val="FFFFFF" w:themeColor="background1"/>
                <w:lang w:val="it"/>
              </w:rPr>
              <w:tab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89F7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D5134E" w14:paraId="06ECBEE1" w14:textId="77777777" w:rsidTr="006049C6">
        <w:trPr>
          <w:trHeight w:val="272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7934A9DD" w14:textId="77777777" w:rsidR="006049C6" w:rsidRPr="00D5134E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46589DA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/>
              </w:rPr>
              <w:t>Descrizione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67916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  <w:p w14:paraId="54403BCC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  <w:p w14:paraId="3F42F639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D5134E" w14:paraId="7C9C3DE9" w14:textId="77777777" w:rsidTr="006049C6">
        <w:trPr>
          <w:trHeight w:val="533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43636CDE" w14:textId="77777777" w:rsidR="006049C6" w:rsidRPr="00D5134E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8546427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/>
              </w:rPr>
              <w:t>Link di interesse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30E66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0C488F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0C488F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Risorse (video, link di riferimento)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0A49B" w14:textId="77777777" w:rsidR="00AA0AAA" w:rsidRPr="00944B0C" w:rsidRDefault="00000000" w:rsidP="00AA0AAA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  <w:hyperlink r:id="rId7" w:history="1">
              <w:r w:rsidR="00501397" w:rsidRPr="000C488F">
                <w:rPr>
                  <w:rStyle w:val="Collegamentoipertestuale"/>
                  <w:color w:val="2F5496" w:themeColor="accent1" w:themeShade="BF"/>
                  <w:lang w:val="en-GB"/>
                </w:rPr>
                <w:t>https://online.hbs.edu/blog/post/types-of-customer-needs #</w:t>
              </w:r>
            </w:hyperlink>
            <w:hyperlink r:id="rId8" w:history="1"/>
          </w:p>
          <w:p w14:paraId="0D3115D1" w14:textId="77777777" w:rsidR="00501397" w:rsidRPr="00944B0C" w:rsidRDefault="00000000" w:rsidP="00AA0AAA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  <w:hyperlink r:id="rId9" w:history="1">
              <w:r w:rsidR="00501397" w:rsidRPr="000C488F">
                <w:rPr>
                  <w:rStyle w:val="Collegamentoipertestuale"/>
                  <w:color w:val="2F5496" w:themeColor="accent1" w:themeShade="BF"/>
                  <w:lang w:val="en-GB"/>
                </w:rPr>
                <w:t>https://www.youtube.com/watch?v=Em7NPWmyw6w&amp;t=57s</w:t>
              </w:r>
            </w:hyperlink>
            <w:hyperlink r:id="rId10" w:history="1"/>
          </w:p>
          <w:p w14:paraId="01F3FF2E" w14:textId="77777777" w:rsidR="00501397" w:rsidRPr="00944B0C" w:rsidRDefault="00000000" w:rsidP="00501397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1" w:history="1">
              <w:r w:rsidR="00501397" w:rsidRPr="000C488F">
                <w:rPr>
                  <w:rStyle w:val="Collegamentoipertestuale"/>
                  <w:color w:val="2F5496" w:themeColor="accent1" w:themeShade="BF"/>
                  <w:lang w:val="en-GB"/>
                </w:rPr>
                <w:t>https://www.business.qld.gov.au/running-business/consumer-laws/customer-service/improving/principles</w:t>
              </w:r>
            </w:hyperlink>
          </w:p>
          <w:p w14:paraId="1A78341F" w14:textId="74E69BFC" w:rsidR="00501397" w:rsidRPr="00944B0C" w:rsidRDefault="00000000" w:rsidP="00AA0AA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2" w:history="1">
              <w:r w:rsidR="00501397" w:rsidRPr="000C488F">
                <w:rPr>
                  <w:rStyle w:val="Collegamentoipertestuale"/>
                  <w:color w:val="2F5496" w:themeColor="accent1" w:themeShade="BF"/>
                  <w:lang w:val="en-US"/>
                </w:rPr>
                <w:t>https://www.youtube.com/watch?v=qXQYNxDdbh8&amp;t=8s</w:t>
              </w:r>
            </w:hyperlink>
            <w:hyperlink r:id="rId13" w:history="1"/>
            <w:hyperlink r:id="rId14" w:history="1"/>
          </w:p>
          <w:p w14:paraId="38EFB8E3" w14:textId="77777777" w:rsidR="009C21AE" w:rsidRPr="00944B0C" w:rsidRDefault="00000000" w:rsidP="009C21AE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5" w:history="1">
              <w:r w:rsidR="009C21AE" w:rsidRPr="000C488F">
                <w:rPr>
                  <w:rStyle w:val="Collegamentoipertestuale"/>
                  <w:color w:val="2F5496" w:themeColor="accent1" w:themeShade="BF"/>
                  <w:lang w:val="en-US"/>
                </w:rPr>
                <w:t>https://www.the-future-of-commerce.com/2021/08/02/what-is-customer-service-definition-examples/</w:t>
              </w:r>
            </w:hyperlink>
            <w:hyperlink r:id="rId16" w:history="1"/>
          </w:p>
          <w:p w14:paraId="13CACFA4" w14:textId="77777777" w:rsidR="009C21AE" w:rsidRPr="00944B0C" w:rsidRDefault="00000000" w:rsidP="009C21AE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7" w:history="1">
              <w:r w:rsidR="009C21AE" w:rsidRPr="000C488F">
                <w:rPr>
                  <w:rStyle w:val="Collegamentoipertestuale"/>
                  <w:color w:val="2F5496" w:themeColor="accent1" w:themeShade="BF"/>
                  <w:lang w:val="en-US"/>
                </w:rPr>
                <w:t>https://www.techtarget.com/searchcustomerexperience/feature/10-examples-of-AI-in-customer-service #</w:t>
              </w:r>
            </w:hyperlink>
            <w:hyperlink r:id="rId18" w:history="1"/>
          </w:p>
          <w:p w14:paraId="4AC7006C" w14:textId="46A3F198" w:rsidR="00501397" w:rsidRPr="00944B0C" w:rsidRDefault="00501397" w:rsidP="00AA0AA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</w:p>
        </w:tc>
      </w:tr>
      <w:tr w:rsidR="006049C6" w:rsidRPr="00D5134E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Materiale correlato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B446C" w14:textId="3D5C517D" w:rsidR="00B91773" w:rsidRPr="00B31293" w:rsidRDefault="00B91773">
            <w:pPr>
              <w:rPr>
                <w:rFonts w:asciiTheme="minorHAnsi" w:hAnsiTheme="minorHAnsi" w:cstheme="minorHAnsi"/>
                <w:color w:val="2F5496" w:themeColor="accent1" w:themeShade="BF"/>
                <w:shd w:val="clear" w:color="auto" w:fill="FFFFFF"/>
              </w:rPr>
            </w:pPr>
            <w:r w:rsidRPr="00B31293">
              <w:rPr>
                <w:color w:val="2F5496" w:themeColor="accent1" w:themeShade="BF"/>
                <w:shd w:val="clear" w:color="auto" w:fill="FFFFFF"/>
                <w:lang w:val="it"/>
              </w:rPr>
              <w:t>Lee, S. M., &amp; Lee, D. (2020). "Untact": una nuova strategia di customer service nell'era digitale. </w:t>
            </w:r>
            <w:r w:rsidRPr="00B31293">
              <w:rPr>
                <w:i/>
                <w:iCs/>
                <w:color w:val="2F5496" w:themeColor="accent1" w:themeShade="BF"/>
                <w:shd w:val="clear" w:color="auto" w:fill="FFFFFF"/>
                <w:lang w:val="it"/>
              </w:rPr>
              <w:t>Attività di servizi</w:t>
            </w:r>
            <w:r w:rsidRPr="00B31293">
              <w:rPr>
                <w:color w:val="2F5496" w:themeColor="accent1" w:themeShade="BF"/>
                <w:shd w:val="clear" w:color="auto" w:fill="FFFFFF"/>
                <w:lang w:val="it"/>
              </w:rPr>
              <w:t xml:space="preserve">, </w:t>
            </w:r>
            <w:r w:rsidRPr="00B31293">
              <w:rPr>
                <w:i/>
                <w:iCs/>
                <w:color w:val="2F5496" w:themeColor="accent1" w:themeShade="BF"/>
                <w:shd w:val="clear" w:color="auto" w:fill="FFFFFF"/>
                <w:lang w:val="it"/>
              </w:rPr>
              <w:t>14</w:t>
            </w:r>
            <w:r w:rsidRPr="00B31293">
              <w:rPr>
                <w:color w:val="2F5496" w:themeColor="accent1" w:themeShade="BF"/>
                <w:shd w:val="clear" w:color="auto" w:fill="FFFFFF"/>
                <w:lang w:val="it"/>
              </w:rPr>
              <w:t>(1), 1-22.</w:t>
            </w:r>
          </w:p>
          <w:p w14:paraId="19AF033A" w14:textId="26C8E4A8" w:rsidR="00882D3A" w:rsidRPr="00B31293" w:rsidRDefault="00882D3A">
            <w:pPr>
              <w:rPr>
                <w:rFonts w:asciiTheme="minorHAnsi" w:hAnsiTheme="minorHAnsi" w:cstheme="minorHAnsi"/>
                <w:color w:val="2F5496" w:themeColor="accent1" w:themeShade="BF"/>
                <w:shd w:val="clear" w:color="auto" w:fill="FFFFFF"/>
              </w:rPr>
            </w:pPr>
            <w:r w:rsidRPr="00B31293">
              <w:rPr>
                <w:color w:val="2F5496" w:themeColor="accent1" w:themeShade="BF"/>
                <w:shd w:val="clear" w:color="auto" w:fill="FFFFFF"/>
                <w:lang w:val="it"/>
              </w:rPr>
              <w:t>Tuten, T. L. (2019). </w:t>
            </w:r>
            <w:r w:rsidRPr="00B31293">
              <w:rPr>
                <w:i/>
                <w:iCs/>
                <w:color w:val="2F5496" w:themeColor="accent1" w:themeShade="BF"/>
                <w:shd w:val="clear" w:color="auto" w:fill="FFFFFF"/>
                <w:lang w:val="it"/>
              </w:rPr>
              <w:t>Principi di marketing per un'era digitale</w:t>
            </w:r>
            <w:r w:rsidRPr="00B31293">
              <w:rPr>
                <w:color w:val="2F5496" w:themeColor="accent1" w:themeShade="BF"/>
                <w:shd w:val="clear" w:color="auto" w:fill="FFFFFF"/>
                <w:lang w:val="it"/>
              </w:rPr>
              <w:t>. SAGGIO.</w:t>
            </w:r>
          </w:p>
          <w:p w14:paraId="3A7A9FF2" w14:textId="44085606" w:rsidR="00FD3D40" w:rsidRPr="00B31293" w:rsidRDefault="00FD3D40" w:rsidP="00AA0AAA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</w:p>
        </w:tc>
      </w:tr>
      <w:tr w:rsidR="006049C6" w:rsidRPr="00D5134E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PPT correlati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77777777" w:rsidR="006049C6" w:rsidRPr="00D5134E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D5134E" w14:paraId="4050EC86" w14:textId="77777777" w:rsidTr="00C67D32">
        <w:trPr>
          <w:trHeight w:val="59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Bibliografia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D09CA" w14:textId="77777777" w:rsidR="00B91773" w:rsidRPr="00B31293" w:rsidRDefault="00B91773">
            <w:pPr>
              <w:rPr>
                <w:rFonts w:asciiTheme="minorHAnsi" w:hAnsiTheme="minorHAnsi" w:cstheme="minorHAnsi"/>
                <w:color w:val="2F5496" w:themeColor="accent1" w:themeShade="BF"/>
                <w:shd w:val="clear" w:color="auto" w:fill="FFFFFF"/>
              </w:rPr>
            </w:pPr>
            <w:r w:rsidRPr="00B31293">
              <w:rPr>
                <w:color w:val="2F5496" w:themeColor="accent1" w:themeShade="BF"/>
                <w:shd w:val="clear" w:color="auto" w:fill="FFFFFF"/>
                <w:lang w:val="it"/>
              </w:rPr>
              <w:t>Falter, M., &amp; Hadwich, K. (2020). Benessere del servizio clienti: sviluppo e validazione della scala. </w:t>
            </w:r>
            <w:r w:rsidRPr="00B31293">
              <w:rPr>
                <w:i/>
                <w:iCs/>
                <w:color w:val="2F5496" w:themeColor="accent1" w:themeShade="BF"/>
                <w:shd w:val="clear" w:color="auto" w:fill="FFFFFF"/>
                <w:lang w:val="it"/>
              </w:rPr>
              <w:t>The Service Industries Journal</w:t>
            </w:r>
            <w:r w:rsidRPr="00B31293">
              <w:rPr>
                <w:color w:val="2F5496" w:themeColor="accent1" w:themeShade="BF"/>
                <w:shd w:val="clear" w:color="auto" w:fill="FFFFFF"/>
                <w:lang w:val="it"/>
              </w:rPr>
              <w:t xml:space="preserve">, </w:t>
            </w:r>
            <w:r w:rsidRPr="00B31293">
              <w:rPr>
                <w:i/>
                <w:iCs/>
                <w:color w:val="2F5496" w:themeColor="accent1" w:themeShade="BF"/>
                <w:shd w:val="clear" w:color="auto" w:fill="FFFFFF"/>
                <w:lang w:val="it"/>
              </w:rPr>
              <w:t>40</w:t>
            </w:r>
            <w:r w:rsidRPr="00B31293">
              <w:rPr>
                <w:color w:val="2F5496" w:themeColor="accent1" w:themeShade="BF"/>
                <w:shd w:val="clear" w:color="auto" w:fill="FFFFFF"/>
                <w:lang w:val="it"/>
              </w:rPr>
              <w:t>(1-2), 181-202.</w:t>
            </w:r>
          </w:p>
          <w:p w14:paraId="16EB6EFA" w14:textId="74701378" w:rsidR="00B91773" w:rsidRPr="00B31293" w:rsidRDefault="00B91773">
            <w:pPr>
              <w:rPr>
                <w:rFonts w:asciiTheme="minorHAnsi" w:hAnsiTheme="minorHAnsi" w:cstheme="minorHAnsi"/>
                <w:color w:val="2F5496" w:themeColor="accent1" w:themeShade="BF"/>
                <w:shd w:val="clear" w:color="auto" w:fill="FFFFFF"/>
              </w:rPr>
            </w:pPr>
            <w:r w:rsidRPr="00B31293">
              <w:rPr>
                <w:color w:val="2F5496" w:themeColor="accent1" w:themeShade="BF"/>
                <w:shd w:val="clear" w:color="auto" w:fill="FFFFFF"/>
                <w:lang w:val="it"/>
              </w:rPr>
              <w:t>Hsieh, T. (2010). </w:t>
            </w:r>
            <w:r w:rsidRPr="00B31293">
              <w:rPr>
                <w:i/>
                <w:iCs/>
                <w:color w:val="2F5496" w:themeColor="accent1" w:themeShade="BF"/>
                <w:shd w:val="clear" w:color="auto" w:fill="FFFFFF"/>
                <w:lang w:val="it"/>
              </w:rPr>
              <w:t>Offrire felicità: un percorso verso profitti, passione e scopo</w:t>
            </w:r>
            <w:r w:rsidRPr="00B31293">
              <w:rPr>
                <w:color w:val="2F5496" w:themeColor="accent1" w:themeShade="BF"/>
                <w:shd w:val="clear" w:color="auto" w:fill="FFFFFF"/>
                <w:lang w:val="it"/>
              </w:rPr>
              <w:t>. Hachette Regno Unito.</w:t>
            </w:r>
          </w:p>
          <w:p w14:paraId="0AA7C7D3" w14:textId="7441A6C7" w:rsidR="00944B0C" w:rsidRPr="00B31293" w:rsidRDefault="00944B0C">
            <w:pPr>
              <w:rPr>
                <w:rFonts w:asciiTheme="minorHAnsi" w:hAnsiTheme="minorHAnsi" w:cstheme="minorHAnsi"/>
                <w:color w:val="2F5496" w:themeColor="accent1" w:themeShade="BF"/>
                <w:shd w:val="clear" w:color="auto" w:fill="FFFFFF"/>
              </w:rPr>
            </w:pPr>
            <w:r w:rsidRPr="00B31293">
              <w:rPr>
                <w:color w:val="2F5496" w:themeColor="accent1" w:themeShade="BF"/>
                <w:shd w:val="clear" w:color="auto" w:fill="FFFFFF"/>
                <w:lang w:val="it"/>
              </w:rPr>
              <w:t xml:space="preserve">Cooper, N. (2021).  Il miglior servizio clienti d'America 2022.  </w:t>
            </w:r>
            <w:r w:rsidRPr="00B31293">
              <w:rPr>
                <w:i/>
                <w:color w:val="2F5496" w:themeColor="accent1" w:themeShade="BF"/>
                <w:shd w:val="clear" w:color="auto" w:fill="FFFFFF"/>
                <w:lang w:val="it"/>
              </w:rPr>
              <w:t>Newsweek Global</w:t>
            </w:r>
            <w:r w:rsidRPr="00B31293">
              <w:rPr>
                <w:color w:val="2F5496" w:themeColor="accent1" w:themeShade="BF"/>
                <w:shd w:val="clear" w:color="auto" w:fill="FFFFFF"/>
                <w:lang w:val="it"/>
              </w:rPr>
              <w:t>, 177 (87), 30-432.</w:t>
            </w:r>
          </w:p>
          <w:p w14:paraId="53E14936" w14:textId="77777777" w:rsidR="00AA0AAA" w:rsidRPr="000C488F" w:rsidRDefault="00944B0C" w:rsidP="00882D3A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  <w:proofErr w:type="spellStart"/>
            <w:r w:rsidRPr="00B31293">
              <w:rPr>
                <w:color w:val="2F5496" w:themeColor="accent1" w:themeShade="BF"/>
                <w:lang w:val="it"/>
              </w:rPr>
              <w:t>Bougourd</w:t>
            </w:r>
            <w:proofErr w:type="spellEnd"/>
            <w:r w:rsidRPr="00B31293">
              <w:rPr>
                <w:color w:val="2F5496" w:themeColor="accent1" w:themeShade="BF"/>
                <w:lang w:val="it"/>
              </w:rPr>
              <w:t xml:space="preserve">, N. (2022). Quattro modi in cui la tecnologia sta migliorando il servizio clienti: il futuro è ora.  </w:t>
            </w:r>
            <w:r w:rsidRPr="00B31293">
              <w:rPr>
                <w:i/>
                <w:color w:val="2F5496" w:themeColor="accent1" w:themeShade="BF"/>
                <w:lang w:val="it"/>
              </w:rPr>
              <w:t xml:space="preserve">HCM Sales, Marketing &amp; Alliance </w:t>
            </w:r>
            <w:proofErr w:type="spellStart"/>
            <w:r w:rsidRPr="00B31293">
              <w:rPr>
                <w:i/>
                <w:color w:val="2F5496" w:themeColor="accent1" w:themeShade="BF"/>
                <w:lang w:val="it"/>
              </w:rPr>
              <w:t>Excellence</w:t>
            </w:r>
            <w:proofErr w:type="spellEnd"/>
            <w:r w:rsidRPr="00B31293">
              <w:rPr>
                <w:color w:val="2F5496" w:themeColor="accent1" w:themeShade="BF"/>
                <w:lang w:val="it"/>
              </w:rPr>
              <w:t>, 21 (5), 14-15.</w:t>
            </w:r>
          </w:p>
          <w:p w14:paraId="04C273C3" w14:textId="77777777" w:rsidR="00B31293" w:rsidRPr="00B31293" w:rsidRDefault="00B31293" w:rsidP="00B31293">
            <w:pPr>
              <w:shd w:val="clear" w:color="auto" w:fill="FFFFFF" w:themeFill="background1"/>
              <w:rPr>
                <w:rFonts w:asciiTheme="minorHAnsi" w:hAnsiTheme="minorHAnsi" w:cstheme="minorHAnsi"/>
                <w:color w:val="2F5496" w:themeColor="accent1" w:themeShade="BF"/>
                <w:shd w:val="clear" w:color="auto" w:fill="F5F5F5"/>
              </w:rPr>
            </w:pPr>
            <w:proofErr w:type="spellStart"/>
            <w:r w:rsidRPr="00B31293">
              <w:rPr>
                <w:color w:val="2F5496" w:themeColor="accent1" w:themeShade="BF"/>
                <w:shd w:val="clear" w:color="auto" w:fill="FFFFFF" w:themeFill="background1"/>
                <w:lang w:val="it"/>
              </w:rPr>
              <w:t>Shep</w:t>
            </w:r>
            <w:proofErr w:type="spellEnd"/>
            <w:r w:rsidRPr="00B31293">
              <w:rPr>
                <w:color w:val="2F5496" w:themeColor="accent1" w:themeShade="BF"/>
                <w:shd w:val="clear" w:color="auto" w:fill="FFFFFF" w:themeFill="background1"/>
                <w:lang w:val="it"/>
              </w:rPr>
              <w:t xml:space="preserve"> </w:t>
            </w:r>
            <w:proofErr w:type="spellStart"/>
            <w:r w:rsidRPr="00B31293">
              <w:rPr>
                <w:color w:val="2F5496" w:themeColor="accent1" w:themeShade="BF"/>
                <w:shd w:val="clear" w:color="auto" w:fill="FFFFFF" w:themeFill="background1"/>
                <w:lang w:val="it"/>
              </w:rPr>
              <w:t>Hyken</w:t>
            </w:r>
            <w:proofErr w:type="spellEnd"/>
            <w:r w:rsidRPr="00B31293">
              <w:rPr>
                <w:color w:val="2F5496" w:themeColor="accent1" w:themeShade="BF"/>
                <w:shd w:val="clear" w:color="auto" w:fill="FFFFFF" w:themeFill="background1"/>
                <w:lang w:val="it"/>
              </w:rPr>
              <w:t xml:space="preserve">. (2019). </w:t>
            </w:r>
            <w:r w:rsidRPr="00B31293">
              <w:rPr>
                <w:i/>
                <w:iCs/>
                <w:color w:val="2F5496" w:themeColor="accent1" w:themeShade="BF"/>
                <w:bdr w:val="none" w:sz="0" w:space="0" w:color="auto" w:frame="1"/>
                <w:shd w:val="clear" w:color="auto" w:fill="FFFFFF" w:themeFill="background1"/>
                <w:lang w:val="it"/>
              </w:rPr>
              <w:t>Sii sorprendente o vai a casa: sette abitudini del servizio clienti che creano fiducia con tutti</w:t>
            </w:r>
            <w:r w:rsidRPr="00B31293">
              <w:rPr>
                <w:color w:val="2F5496" w:themeColor="accent1" w:themeShade="BF"/>
                <w:shd w:val="clear" w:color="auto" w:fill="FFFFFF" w:themeFill="background1"/>
                <w:lang w:val="it"/>
              </w:rPr>
              <w:t>. Sana saggezza</w:t>
            </w:r>
            <w:r w:rsidRPr="00B31293">
              <w:rPr>
                <w:color w:val="2F5496" w:themeColor="accent1" w:themeShade="BF"/>
                <w:shd w:val="clear" w:color="auto" w:fill="F5F5F5"/>
                <w:lang w:val="it"/>
              </w:rPr>
              <w:t>.</w:t>
            </w:r>
          </w:p>
          <w:p w14:paraId="5CCA10F0" w14:textId="77777777" w:rsidR="00B31293" w:rsidRPr="00B31293" w:rsidRDefault="00B31293" w:rsidP="00B31293">
            <w:pPr>
              <w:shd w:val="clear" w:color="auto" w:fill="FFFFFF" w:themeFill="background1"/>
              <w:rPr>
                <w:rFonts w:asciiTheme="minorHAnsi" w:hAnsiTheme="minorHAnsi" w:cstheme="minorHAnsi"/>
                <w:color w:val="2F5496" w:themeColor="accent1" w:themeShade="BF"/>
                <w:shd w:val="clear" w:color="auto" w:fill="F5F5F5"/>
              </w:rPr>
            </w:pPr>
            <w:r w:rsidRPr="00B31293">
              <w:rPr>
                <w:color w:val="2F5496" w:themeColor="accent1" w:themeShade="BF"/>
                <w:shd w:val="clear" w:color="auto" w:fill="FFFFFF" w:themeFill="background1"/>
                <w:lang w:val="it"/>
              </w:rPr>
              <w:t xml:space="preserve">Flavio Martins. (2016). </w:t>
            </w:r>
            <w:r w:rsidRPr="00B31293">
              <w:rPr>
                <w:i/>
                <w:iCs/>
                <w:color w:val="2F5496" w:themeColor="accent1" w:themeShade="BF"/>
                <w:bdr w:val="none" w:sz="0" w:space="0" w:color="auto" w:frame="1"/>
                <w:shd w:val="clear" w:color="auto" w:fill="FFFFFF" w:themeFill="background1"/>
                <w:lang w:val="it"/>
              </w:rPr>
              <w:t>Vinci il cliente: 70 semplici regole per un servizio sensazionale</w:t>
            </w:r>
            <w:r w:rsidRPr="00B31293">
              <w:rPr>
                <w:color w:val="2F5496" w:themeColor="accent1" w:themeShade="BF"/>
                <w:shd w:val="clear" w:color="auto" w:fill="FFFFFF" w:themeFill="background1"/>
                <w:lang w:val="it"/>
              </w:rPr>
              <w:t>. AMACOM</w:t>
            </w:r>
            <w:r w:rsidRPr="00B31293">
              <w:rPr>
                <w:color w:val="2F5496" w:themeColor="accent1" w:themeShade="BF"/>
                <w:shd w:val="clear" w:color="auto" w:fill="F5F5F5"/>
                <w:lang w:val="it"/>
              </w:rPr>
              <w:t>.</w:t>
            </w:r>
          </w:p>
          <w:p w14:paraId="15D24FED" w14:textId="2B57A7B8" w:rsidR="00B31293" w:rsidRPr="00B31293" w:rsidRDefault="00B31293" w:rsidP="00B31293">
            <w:pPr>
              <w:shd w:val="clear" w:color="auto" w:fill="FFFFFF" w:themeFill="background1"/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</w:tr>
      <w:tr w:rsidR="006049C6" w:rsidRPr="00D5134E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Fornito da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5013580F" w:rsidR="006049C6" w:rsidRPr="00D5134E" w:rsidRDefault="00DF21B1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D5134E">
              <w:rPr>
                <w:color w:val="1F3864" w:themeColor="accent1" w:themeShade="80"/>
                <w:lang w:val="it"/>
              </w:rPr>
              <w:t>SEERC ·</w:t>
            </w:r>
          </w:p>
        </w:tc>
      </w:tr>
    </w:tbl>
    <w:p w14:paraId="40FDB52D" w14:textId="77777777" w:rsidR="006049C6" w:rsidRPr="00D5134E" w:rsidRDefault="006049C6" w:rsidP="006049C6">
      <w:pPr>
        <w:rPr>
          <w:rFonts w:asciiTheme="minorHAnsi" w:hAnsiTheme="minorHAnsi" w:cstheme="minorHAnsi"/>
          <w:lang w:val="en-GB"/>
        </w:rPr>
      </w:pPr>
    </w:p>
    <w:p w14:paraId="4CFF9A88" w14:textId="7DDBBB29" w:rsidR="00A4144D" w:rsidRPr="00D5134E" w:rsidRDefault="00000000" w:rsidP="005D3D97">
      <w:pPr>
        <w:rPr>
          <w:rFonts w:asciiTheme="minorHAnsi" w:hAnsiTheme="minorHAnsi" w:cstheme="minorHAnsi"/>
          <w:lang w:val="en-GB"/>
        </w:rPr>
      </w:pPr>
    </w:p>
    <w:sectPr w:rsidR="00A4144D" w:rsidRPr="00D5134E" w:rsidSect="006049C6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0503" w14:textId="77777777" w:rsidR="00034952" w:rsidRDefault="00034952" w:rsidP="005D3D97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73B22957" w14:textId="77777777" w:rsidR="00034952" w:rsidRDefault="00034952" w:rsidP="005D3D97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Pidipagina"/>
    </w:pPr>
    <w:r w:rsidRPr="00505F0E">
      <w:rPr>
        <w:noProof/>
        <w:lang w:val="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7DD6FC37">
              <wp:simplePos x="0" y="0"/>
              <wp:positionH relativeFrom="page">
                <wp:posOffset>1709957</wp:posOffset>
              </wp:positionH>
              <wp:positionV relativeFrom="paragraph">
                <wp:posOffset>-33020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28478767" w:rsidR="00505F0E" w:rsidRPr="000C488F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Con il sostegno d</w:t>
                          </w:r>
                          <w:r w:rsidR="00985105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el programma 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Erasmus+ dell'Unione europea. Il presente documento e il suo contenuto riflettono solo le opinioni degli autori e la Commissione non può essere ritenuta responsabile per qualsiasi uso che possa essere fatto delle informazioni in esso contenute.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4.65pt;margin-top:-2.6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" filled="f" stroked="f">
              <v:textbox style="mso-fit-shape-to-text:t">
                <w:txbxContent>
                  <w:p w14:paraId="45524985" w14:textId="28478767" w:rsidR="00505F0E" w:rsidRPr="000C488F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Con il sostegno d</w:t>
                    </w:r>
                    <w:r w:rsidR="00985105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el programma 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Erasmus+ dell'Unione europea. Il presente documento e il suo contenuto riflettono solo le opinioni degli autori e la Commissione non può essere ritenuta responsabile per qualsiasi uso che possa essere fatto delle informazioni in esso contenute.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it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17C0" w14:textId="77777777" w:rsidR="00034952" w:rsidRDefault="00034952" w:rsidP="005D3D97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2E02F9D0" w14:textId="77777777" w:rsidR="00034952" w:rsidRDefault="00034952" w:rsidP="005D3D97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2255867C" w:rsidR="005D3D97" w:rsidRPr="000C488F" w:rsidRDefault="005D3D97" w:rsidP="000C31A9">
    <w:pPr>
      <w:jc w:val="center"/>
      <w:rPr>
        <w:rFonts w:ascii="Bahnschrift SemiLight" w:hAnsi="Bahnschrift SemiLight"/>
        <w:b/>
        <w:bCs/>
      </w:rPr>
    </w:pPr>
    <w:r w:rsidRPr="000C31A9">
      <w:rPr>
        <w:b/>
        <w:bCs/>
        <w:noProof/>
        <w:lang w:val="it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b/>
        <w:bCs/>
        <w:lang w:val="it"/>
      </w:rPr>
      <w:t>Rafforzare la resilienza delle PMI dopo il lock-down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b/>
        <w:bCs/>
        <w:color w:val="0CA373"/>
        <w:lang w:val="it"/>
      </w:rPr>
      <w:t>www.esmerald.eu</w:t>
    </w:r>
  </w:p>
  <w:p w14:paraId="635AD7A1" w14:textId="311233AF" w:rsidR="005D3D97" w:rsidRDefault="005D3D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FD041C"/>
    <w:multiLevelType w:val="hybridMultilevel"/>
    <w:tmpl w:val="9578A78C"/>
    <w:lvl w:ilvl="0" w:tplc="AA0E770C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79383C3E"/>
    <w:multiLevelType w:val="hybridMultilevel"/>
    <w:tmpl w:val="FB885764"/>
    <w:lvl w:ilvl="0" w:tplc="8326C8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552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4038518">
    <w:abstractNumId w:val="1"/>
  </w:num>
  <w:num w:numId="3" w16cid:durableId="149637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jEzsTAwNTI3NbZQ0lEKTi0uzszPAykwrAUAQdFoEiwAAAA="/>
  </w:docVars>
  <w:rsids>
    <w:rsidRoot w:val="00D87393"/>
    <w:rsid w:val="00034952"/>
    <w:rsid w:val="000B07B4"/>
    <w:rsid w:val="000C31A9"/>
    <w:rsid w:val="000C488F"/>
    <w:rsid w:val="001725F0"/>
    <w:rsid w:val="001853F1"/>
    <w:rsid w:val="001F0D0D"/>
    <w:rsid w:val="00213CFC"/>
    <w:rsid w:val="00235586"/>
    <w:rsid w:val="00263D3D"/>
    <w:rsid w:val="002A1135"/>
    <w:rsid w:val="002F45CB"/>
    <w:rsid w:val="00336784"/>
    <w:rsid w:val="00440CCE"/>
    <w:rsid w:val="00471AFE"/>
    <w:rsid w:val="004B2C82"/>
    <w:rsid w:val="004B65A8"/>
    <w:rsid w:val="00501397"/>
    <w:rsid w:val="00505F0E"/>
    <w:rsid w:val="0056514B"/>
    <w:rsid w:val="005C47DF"/>
    <w:rsid w:val="005C508D"/>
    <w:rsid w:val="005D3D97"/>
    <w:rsid w:val="005F5748"/>
    <w:rsid w:val="006049C6"/>
    <w:rsid w:val="00607D68"/>
    <w:rsid w:val="006421DC"/>
    <w:rsid w:val="006975E6"/>
    <w:rsid w:val="007056E7"/>
    <w:rsid w:val="00755784"/>
    <w:rsid w:val="00760BB1"/>
    <w:rsid w:val="00774CCE"/>
    <w:rsid w:val="007E0744"/>
    <w:rsid w:val="00867016"/>
    <w:rsid w:val="00882D3A"/>
    <w:rsid w:val="008E2D90"/>
    <w:rsid w:val="008E364B"/>
    <w:rsid w:val="00944B0C"/>
    <w:rsid w:val="009621A6"/>
    <w:rsid w:val="00985105"/>
    <w:rsid w:val="009A22EE"/>
    <w:rsid w:val="009C21AE"/>
    <w:rsid w:val="009D3E93"/>
    <w:rsid w:val="009E31E0"/>
    <w:rsid w:val="00A057BF"/>
    <w:rsid w:val="00A17E0A"/>
    <w:rsid w:val="00A43ECC"/>
    <w:rsid w:val="00A814EA"/>
    <w:rsid w:val="00AA0AAA"/>
    <w:rsid w:val="00B31293"/>
    <w:rsid w:val="00B54EBC"/>
    <w:rsid w:val="00B91773"/>
    <w:rsid w:val="00C17ABD"/>
    <w:rsid w:val="00C253D6"/>
    <w:rsid w:val="00C67D32"/>
    <w:rsid w:val="00C717BC"/>
    <w:rsid w:val="00CF4AA2"/>
    <w:rsid w:val="00D45B98"/>
    <w:rsid w:val="00D5134E"/>
    <w:rsid w:val="00D87393"/>
    <w:rsid w:val="00DA6A19"/>
    <w:rsid w:val="00DB0975"/>
    <w:rsid w:val="00DD7FA8"/>
    <w:rsid w:val="00DF21B1"/>
    <w:rsid w:val="00E52AA0"/>
    <w:rsid w:val="00FA17BB"/>
    <w:rsid w:val="00FC1A83"/>
    <w:rsid w:val="00FD3D40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D97"/>
  </w:style>
  <w:style w:type="paragraph" w:styleId="Pidipagina">
    <w:name w:val="footer"/>
    <w:basedOn w:val="Normale"/>
    <w:link w:val="Pidipagina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D97"/>
  </w:style>
  <w:style w:type="paragraph" w:styleId="Paragrafoelenco">
    <w:name w:val="List Paragraph"/>
    <w:basedOn w:val="Normale"/>
    <w:uiPriority w:val="99"/>
    <w:qFormat/>
    <w:rsid w:val="006049C6"/>
    <w:pPr>
      <w:ind w:left="720"/>
      <w:contextualSpacing/>
    </w:pPr>
    <w:rPr>
      <w:lang w:val="sk-SK"/>
    </w:rPr>
  </w:style>
  <w:style w:type="table" w:styleId="Grigliatabella">
    <w:name w:val="Table Grid"/>
    <w:basedOn w:val="Tabellanormale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21B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21B1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0C48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hbs.edu/blog/post/types-of-customer-needs" TargetMode="External"/><Relationship Id="rId13" Type="http://schemas.openxmlformats.org/officeDocument/2006/relationships/hyperlink" Target="https://www.youtube.com/watch?v=qXQYNxDdbh8&amp;t=8s" TargetMode="External"/><Relationship Id="rId18" Type="http://schemas.openxmlformats.org/officeDocument/2006/relationships/hyperlink" Target="https://www.techtarget.com/searchcustomerexperience/feature/10-examples-of-AI-in-customer-servic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nline.hbs.edu/blog/post/types-of-customer-needs" TargetMode="External"/><Relationship Id="rId12" Type="http://schemas.openxmlformats.org/officeDocument/2006/relationships/hyperlink" Target="https://www.youtube.com/watch?v=qXQYNxDdbh8&amp;t=8s" TargetMode="External"/><Relationship Id="rId17" Type="http://schemas.openxmlformats.org/officeDocument/2006/relationships/hyperlink" Target="https://www.techtarget.com/searchcustomerexperience/feature/10-examples-of-AI-in-customer-serv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-future-of-commerce.com/2021/08/02/what-is-customer-service-definition-example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siness.qld.gov.au/running-business/consumer-laws/customer-service/improving/princip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-future-of-commerce.com/2021/08/02/what-is-customer-service-definition-examples/" TargetMode="External"/><Relationship Id="rId10" Type="http://schemas.openxmlformats.org/officeDocument/2006/relationships/hyperlink" Target="https://www.youtube.com/watch?v=Em7NPWmyw6w&amp;t=57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m7NPWmyw6w&amp;t=57s" TargetMode="External"/><Relationship Id="rId14" Type="http://schemas.openxmlformats.org/officeDocument/2006/relationships/hyperlink" Target="https://www.youtube.com/watch?v=qXQYNxDdbh8&amp;t=8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s.natale@studenti.unimc.it</cp:lastModifiedBy>
  <cp:revision>3</cp:revision>
  <dcterms:created xsi:type="dcterms:W3CDTF">2022-07-28T08:35:00Z</dcterms:created>
  <dcterms:modified xsi:type="dcterms:W3CDTF">2022-09-13T11:32:00Z</dcterms:modified>
  <cp:category/>
</cp:coreProperties>
</file>