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2B1377EC"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b/>
          <w:bCs/>
          <w:color w:val="0CA373"/>
          <w:sz w:val="36"/>
          <w:szCs w:val="36"/>
          <w:lang w:val="el"/>
        </w:rPr>
        <w:t>Πρότυπο εκπαιδευτικού δελτίου</w:t>
      </w:r>
    </w:p>
    <w:tbl>
      <w:tblPr>
        <w:tblStyle w:val="TableGrid"/>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b/>
                <w:bCs/>
                <w:color w:val="FFFFFF" w:themeColor="background1"/>
                <w:lang w:val="el" w:eastAsia="en-GB"/>
              </w:rPr>
              <w:t>Τίτλος</w:t>
            </w:r>
            <w:r w:rsidRPr="005C508D">
              <w:rPr>
                <w:b/>
                <w:bCs/>
                <w:color w:val="FFFFFF" w:themeColor="background1"/>
                <w:lang w:val="el" w:eastAsia="en-GB"/>
              </w:rPr>
              <w:tab/>
            </w:r>
            <w:r w:rsidRPr="005C508D">
              <w:rPr>
                <w:b/>
                <w:bCs/>
                <w:color w:val="FFFFFF" w:themeColor="background1"/>
                <w:lang w:val="el"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519A2133" w:rsidR="006049C6" w:rsidRPr="0026414E" w:rsidRDefault="0040679B" w:rsidP="005519F6">
            <w:pPr>
              <w:rPr>
                <w:rFonts w:asciiTheme="minorHAnsi" w:hAnsiTheme="minorHAnsi" w:cstheme="minorHAnsi"/>
                <w:color w:val="000000" w:themeColor="text1"/>
              </w:rPr>
            </w:pPr>
            <w:r>
              <w:rPr>
                <w:b/>
                <w:bCs/>
                <w:color w:val="000000"/>
                <w:shd w:val="clear" w:color="auto" w:fill="FFFFFF"/>
                <w:lang w:val="el"/>
              </w:rPr>
              <w:t>Ειδική αναστολή κάποιων κοινωνικών</w:t>
            </w:r>
            <w:r w:rsidR="00C0398A" w:rsidRPr="00C0398A">
              <w:rPr>
                <w:b/>
                <w:bCs/>
                <w:color w:val="000000"/>
                <w:shd w:val="clear" w:color="auto" w:fill="FFFFFF"/>
                <w:lang w:val="el-GR"/>
              </w:rPr>
              <w:t xml:space="preserve"> </w:t>
            </w:r>
            <w:r w:rsidR="004E43D5">
              <w:rPr>
                <w:b/>
                <w:bCs/>
                <w:color w:val="000000"/>
                <w:shd w:val="clear" w:color="auto" w:fill="FFFFFF"/>
                <w:lang w:val="el"/>
              </w:rPr>
              <w:t>εργοδοτικών υποχρεώσεων</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20F88B67"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Λέξεις-κλειδιά (μεταετικέτα)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44CEAFF" w:rsidR="006049C6" w:rsidRPr="0026414E" w:rsidRDefault="004E43D5">
            <w:pPr>
              <w:rPr>
                <w:rFonts w:asciiTheme="minorHAnsi" w:hAnsiTheme="minorHAnsi" w:cstheme="minorHAnsi"/>
                <w:color w:val="000000" w:themeColor="text1"/>
              </w:rPr>
            </w:pPr>
            <w:r>
              <w:rPr>
                <w:color w:val="000000" w:themeColor="text1"/>
                <w:lang w:val="el"/>
              </w:rPr>
              <w:t>Αναστολή, μείωση</w:t>
            </w:r>
            <w:r w:rsidR="006228C9">
              <w:rPr>
                <w:color w:val="000000" w:themeColor="text1"/>
                <w:lang w:val="el"/>
              </w:rPr>
              <w:t>, κοινωνικές υποχρεώσεις</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Γλώσσα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268C7A2F" w:rsidR="006049C6" w:rsidRPr="00C0398A" w:rsidRDefault="00C0398A">
            <w:pPr>
              <w:rPr>
                <w:rFonts w:asciiTheme="minorHAnsi" w:hAnsiTheme="minorHAnsi" w:cstheme="minorHAnsi"/>
                <w:color w:val="000000" w:themeColor="text1"/>
                <w:lang w:val="el-GR"/>
              </w:rPr>
            </w:pPr>
            <w:r>
              <w:rPr>
                <w:color w:val="000000" w:themeColor="text1"/>
                <w:lang w:val="el-GR"/>
              </w:rPr>
              <w:t>Ελληνικά</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3303107B"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Στόχοι / Διδάγματα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556538" w14:textId="77777777" w:rsidR="0055514A" w:rsidRPr="0055514A" w:rsidRDefault="0055514A" w:rsidP="0055514A">
            <w:pPr>
              <w:pStyle w:val="ListParagraph"/>
              <w:numPr>
                <w:ilvl w:val="0"/>
                <w:numId w:val="3"/>
              </w:numPr>
              <w:rPr>
                <w:rFonts w:asciiTheme="minorHAnsi" w:hAnsiTheme="minorHAnsi" w:cstheme="minorHAnsi"/>
                <w:color w:val="000000" w:themeColor="text1"/>
                <w:lang w:val="pl-PL"/>
              </w:rPr>
            </w:pPr>
            <w:r w:rsidRPr="0055514A">
              <w:rPr>
                <w:color w:val="000000" w:themeColor="text1"/>
                <w:lang w:val="el"/>
              </w:rPr>
              <w:t>Να κατανοήσουν τις κύριες απόψεις των κανονισμών κατά της κρίσης που σχετίζονται με τον περιορισμό των κοινωνικών υποχρεώσεων σε θέματα απασχόλησης,</w:t>
            </w:r>
          </w:p>
          <w:p w14:paraId="1B0ABF1B" w14:textId="77777777" w:rsidR="0055514A" w:rsidRPr="0055514A" w:rsidRDefault="0055514A" w:rsidP="0055514A">
            <w:pPr>
              <w:pStyle w:val="ListParagraph"/>
              <w:numPr>
                <w:ilvl w:val="0"/>
                <w:numId w:val="3"/>
              </w:numPr>
              <w:rPr>
                <w:rFonts w:asciiTheme="minorHAnsi" w:hAnsiTheme="minorHAnsi" w:cstheme="minorHAnsi"/>
                <w:color w:val="000000" w:themeColor="text1"/>
                <w:lang w:val="pl-PL"/>
              </w:rPr>
            </w:pPr>
            <w:r w:rsidRPr="0055514A">
              <w:rPr>
                <w:color w:val="000000" w:themeColor="text1"/>
                <w:lang w:val="el"/>
              </w:rPr>
              <w:t>Μάθετε πώς να χρησιμοποιείτε λύσεις κατά της κρίσης μειώνοντας ή περιορίζοντας ορισμένες κοινωνικές υποχρεώσεις των εργοδοτών,</w:t>
            </w:r>
          </w:p>
          <w:p w14:paraId="4B77F91F" w14:textId="77777777" w:rsidR="0055514A" w:rsidRPr="0055514A" w:rsidRDefault="0055514A" w:rsidP="0055514A">
            <w:pPr>
              <w:pStyle w:val="ListParagraph"/>
              <w:numPr>
                <w:ilvl w:val="0"/>
                <w:numId w:val="3"/>
              </w:numPr>
              <w:rPr>
                <w:rFonts w:asciiTheme="minorHAnsi" w:hAnsiTheme="minorHAnsi" w:cstheme="minorHAnsi"/>
                <w:color w:val="000000" w:themeColor="text1"/>
                <w:lang w:val="pl-PL"/>
              </w:rPr>
            </w:pPr>
            <w:r w:rsidRPr="0055514A">
              <w:rPr>
                <w:color w:val="000000" w:themeColor="text1"/>
                <w:lang w:val="el"/>
              </w:rPr>
              <w:t>Μάθετε περισσότερα για τις λύσεις κατά της πανδημίας κρίσης στο πολωνικό εργατικό δίκαιο κατά την περίοδο του COVID-19.</w:t>
            </w:r>
          </w:p>
          <w:p w14:paraId="3E0ADB40" w14:textId="0671813F" w:rsidR="0026414E" w:rsidRPr="00176774" w:rsidRDefault="0026414E" w:rsidP="0055514A">
            <w:pPr>
              <w:pStyle w:val="ListParagraph"/>
              <w:rPr>
                <w:rFonts w:asciiTheme="minorHAnsi" w:hAnsiTheme="minorHAnsi" w:cstheme="minorHAnsi"/>
                <w:color w:val="1F3864" w:themeColor="accent1" w:themeShade="80"/>
              </w:rPr>
            </w:pP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b/>
                <w:bCs/>
                <w:color w:val="FFFFFF" w:themeColor="background1"/>
                <w:lang w:val="el" w:eastAsia="en-GB"/>
              </w:rPr>
              <w:t>Περιοχή προπόνησης: (Επιλέξτε μία)</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6AE8" w:rsidRDefault="005C508D">
            <w:pPr>
              <w:rPr>
                <w:rFonts w:asciiTheme="minorHAnsi" w:eastAsia="Times New Roman" w:hAnsiTheme="minorHAnsi" w:cstheme="minorHAnsi"/>
                <w:b/>
                <w:bCs/>
                <w:lang w:val="el-GR" w:eastAsia="en-GB"/>
              </w:rPr>
            </w:pPr>
            <w:r w:rsidRPr="005C508D">
              <w:rPr>
                <w:b/>
                <w:bCs/>
                <w:lang w:val="el" w:eastAsia="en-GB"/>
              </w:rPr>
              <w:t>Online / Ψηφιακό Μάρκετινγκ / Ασφάλεια στον Κυβερνοχώρο</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5475A302" w:rsidR="006049C6" w:rsidRPr="005C508D" w:rsidRDefault="00176774" w:rsidP="00176774">
            <w:pPr>
              <w:jc w:val="center"/>
              <w:rPr>
                <w:rFonts w:asciiTheme="minorHAnsi" w:eastAsia="Times New Roman" w:hAnsiTheme="minorHAnsi" w:cstheme="minorHAnsi"/>
                <w:b/>
                <w:bCs/>
                <w:color w:val="FFFFFF" w:themeColor="background1"/>
                <w:lang w:val="en-US" w:eastAsia="en-GB"/>
              </w:rPr>
            </w:pPr>
            <w:r>
              <w:rPr>
                <w:b/>
                <w:bCs/>
                <w:color w:val="FFFFFF" w:themeColor="background1"/>
                <w:lang w:val="el"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b/>
                <w:bCs/>
                <w:lang w:val="el" w:eastAsia="en-GB"/>
              </w:rPr>
              <w:t>Ηλεκτρονικό Εμπόριο / Χρηματοδότηση</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b/>
                <w:bCs/>
                <w:lang w:val="el" w:eastAsia="en-GB"/>
              </w:rPr>
              <w:t>Ψηφιακή Ευεξία</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b/>
                <w:bCs/>
                <w:lang w:val="el" w:eastAsia="en-GB"/>
              </w:rPr>
              <w:t>Έξυπνη εργασία / Ψηφιακοί Νομάδες</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Περιγραφή: __________</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76D2F3F2" w:rsidR="006049C6" w:rsidRPr="005C764F" w:rsidRDefault="00930854" w:rsidP="005C764F">
            <w:pPr>
              <w:pStyle w:val="ListParagraph"/>
              <w:spacing w:after="0" w:line="240" w:lineRule="auto"/>
              <w:ind w:left="360"/>
              <w:textAlignment w:val="baseline"/>
              <w:rPr>
                <w:rFonts w:asciiTheme="minorHAnsi" w:eastAsia="Times New Roman" w:hAnsiTheme="minorHAnsi" w:cstheme="minorHAnsi"/>
                <w:lang w:eastAsia="en-GB"/>
              </w:rPr>
            </w:pPr>
            <w:r w:rsidRPr="002C089A">
              <w:rPr>
                <w:sz w:val="24"/>
                <w:szCs w:val="24"/>
                <w:lang w:val="el"/>
              </w:rPr>
              <w:t xml:space="preserve">Στην Πολωνία έχουν εισαχθεί ορισμένοι </w:t>
            </w:r>
            <w:r>
              <w:rPr>
                <w:sz w:val="24"/>
                <w:szCs w:val="24"/>
                <w:lang w:val="el"/>
              </w:rPr>
              <w:t>νομικοί θεσμοί</w:t>
            </w:r>
            <w:r>
              <w:rPr>
                <w:lang w:val="el"/>
              </w:rPr>
              <w:t xml:space="preserve"> κατά της κρίσης </w:t>
            </w:r>
            <w:r w:rsidRPr="002C089A">
              <w:rPr>
                <w:sz w:val="24"/>
                <w:szCs w:val="24"/>
                <w:lang w:val="el"/>
              </w:rPr>
              <w:t xml:space="preserve"> , οι οποίοι αποσκοπούν στη διευκόλυνση της οργάνωσης της εργασίας των εργαζομένων και της ευέλικτης ανάπτυξης της εργασίας (π.χ. ευέλικτοι θεσμοί ωραρίου εργασίας), καθώς και στον περιορισμό των κοινωνικών υποχρεώσεων των εργοδοτών και λύσεις που αποσκοπούν στην παροχή οικονομικής στήριξης στους επιχειρηματίες προκειμένου να διατηρήσουν τους χώρους εργασίας.</w:t>
            </w:r>
            <w:r>
              <w:rPr>
                <w:lang w:val="el"/>
              </w:rPr>
              <w:t xml:space="preserve"> </w:t>
            </w:r>
            <w:r w:rsidR="00530B6D">
              <w:rPr>
                <w:sz w:val="24"/>
                <w:szCs w:val="24"/>
                <w:lang w:val="el"/>
              </w:rPr>
              <w:t xml:space="preserve"> Στόχος αυτής της κατάρτισης είναι να μάθουμε περισσότερα σχετικά με </w:t>
            </w:r>
            <w:r>
              <w:rPr>
                <w:lang w:val="el"/>
              </w:rPr>
              <w:t xml:space="preserve"> τις δυνατότητες </w:t>
            </w:r>
            <w:r w:rsidR="0055514A">
              <w:rPr>
                <w:sz w:val="24"/>
                <w:szCs w:val="24"/>
                <w:lang w:val="el"/>
              </w:rPr>
              <w:t>καταπολέμησης της κρίσης</w:t>
            </w:r>
            <w:r w:rsidR="00530B6D">
              <w:rPr>
                <w:sz w:val="24"/>
                <w:szCs w:val="24"/>
                <w:lang w:val="el"/>
              </w:rPr>
              <w:t xml:space="preserve"> που σχετίζονται με την αναστολή, τη μείωση ή τον περιορισμό ορισμένων κοινωνικών οφελών των υποχρεώσεων των εργοδοτών κατά τη διάρκεια της κρίσης.</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b/>
                <w:bCs/>
                <w:color w:val="FFFFFF" w:themeColor="background1"/>
                <w:lang w:val="el" w:eastAsia="en-GB"/>
              </w:rPr>
              <w:t>Περιεχόμενα διατεταγμένα σε 3 επίπεδα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59F25F" w14:textId="03FD84EC" w:rsidR="005C764F" w:rsidRPr="00530B6D" w:rsidRDefault="00CD5F98" w:rsidP="005C764F">
            <w:pPr>
              <w:pStyle w:val="ListParagraph"/>
              <w:spacing w:after="0" w:line="240" w:lineRule="auto"/>
              <w:ind w:left="360"/>
              <w:textAlignment w:val="baseline"/>
              <w:rPr>
                <w:rFonts w:ascii="Times New Roman" w:hAnsi="Times New Roman"/>
                <w:b/>
                <w:bCs/>
                <w:color w:val="000000"/>
                <w:sz w:val="24"/>
                <w:szCs w:val="24"/>
                <w:shd w:val="clear" w:color="auto" w:fill="FFFFFF"/>
              </w:rPr>
            </w:pPr>
            <w:r w:rsidRPr="00530B6D">
              <w:rPr>
                <w:b/>
                <w:bCs/>
                <w:color w:val="000000"/>
                <w:sz w:val="24"/>
                <w:szCs w:val="24"/>
                <w:shd w:val="clear" w:color="auto" w:fill="FFFFFF"/>
                <w:lang w:val="el"/>
              </w:rPr>
              <w:t>Ειδική αναστολή κάποιας κοινωνικής εργοδοτικής υποχρέωσης:</w:t>
            </w:r>
          </w:p>
          <w:p w14:paraId="4F70AE59" w14:textId="6125C221" w:rsidR="00530B6D" w:rsidRPr="00530B6D" w:rsidRDefault="0055514A" w:rsidP="00530B6D">
            <w:pPr>
              <w:numPr>
                <w:ilvl w:val="0"/>
                <w:numId w:val="4"/>
              </w:numPr>
              <w:shd w:val="clear" w:color="auto" w:fill="FFFFFF"/>
              <w:tabs>
                <w:tab w:val="left" w:pos="720"/>
              </w:tabs>
              <w:spacing w:before="100" w:beforeAutospacing="1" w:after="100" w:afterAutospacing="1" w:line="240" w:lineRule="auto"/>
              <w:rPr>
                <w:rFonts w:ascii="Times New Roman" w:eastAsia="Times New Roman" w:hAnsi="Times New Roman"/>
                <w:color w:val="000000"/>
                <w:sz w:val="24"/>
                <w:szCs w:val="24"/>
                <w:lang w:val="pl-PL" w:eastAsia="pl-PL"/>
              </w:rPr>
            </w:pPr>
            <w:r w:rsidRPr="0055514A">
              <w:rPr>
                <w:color w:val="000000"/>
                <w:sz w:val="24"/>
                <w:szCs w:val="24"/>
                <w:lang w:val="el" w:eastAsia="pl-PL"/>
              </w:rPr>
              <w:lastRenderedPageBreak/>
              <w:t>Συλλογικές συμβάσεις με εκπροσώπους των εργαζομένων για αναστολή, μείωση ή περιορισμό ορισμένων κοινωνικών παροχών ή υποχρεώσεων</w:t>
            </w:r>
            <w:r w:rsidR="00530B6D" w:rsidRPr="00530B6D">
              <w:rPr>
                <w:color w:val="000000"/>
                <w:sz w:val="24"/>
                <w:szCs w:val="24"/>
                <w:lang w:val="el" w:eastAsia="pl-PL"/>
              </w:rPr>
              <w:t>.  </w:t>
            </w:r>
          </w:p>
          <w:p w14:paraId="30DD6785" w14:textId="7BF24897" w:rsidR="00530B6D" w:rsidRPr="00530B6D" w:rsidRDefault="0055514A" w:rsidP="00530B6D">
            <w:pPr>
              <w:numPr>
                <w:ilvl w:val="0"/>
                <w:numId w:val="4"/>
              </w:numPr>
              <w:shd w:val="clear" w:color="auto" w:fill="FFFFFF"/>
              <w:tabs>
                <w:tab w:val="left" w:pos="720"/>
              </w:tabs>
              <w:spacing w:before="100" w:beforeAutospacing="1" w:after="100" w:afterAutospacing="1" w:line="240" w:lineRule="auto"/>
              <w:rPr>
                <w:rFonts w:ascii="Times New Roman" w:eastAsia="Times New Roman" w:hAnsi="Times New Roman"/>
                <w:color w:val="000000"/>
                <w:sz w:val="24"/>
                <w:szCs w:val="24"/>
                <w:lang w:val="pl-PL" w:eastAsia="pl-PL"/>
              </w:rPr>
            </w:pPr>
            <w:r w:rsidRPr="0055514A">
              <w:rPr>
                <w:color w:val="000000"/>
                <w:sz w:val="24"/>
                <w:szCs w:val="24"/>
                <w:lang w:val="el" w:eastAsia="pl-PL"/>
              </w:rPr>
              <w:t>Λύσεις που στοχεύουν στη μείωση του χρόνου εργασίας και του χρόνου αδράνειας</w:t>
            </w:r>
            <w:r w:rsidR="00530B6D" w:rsidRPr="00530B6D">
              <w:rPr>
                <w:color w:val="000000"/>
                <w:sz w:val="24"/>
                <w:szCs w:val="24"/>
                <w:lang w:val="el" w:eastAsia="pl-PL"/>
              </w:rPr>
              <w:t>.</w:t>
            </w:r>
          </w:p>
          <w:p w14:paraId="0914DDC6" w14:textId="75D8F236" w:rsidR="006049C6" w:rsidRPr="005C508D" w:rsidRDefault="0055514A" w:rsidP="00C0398A">
            <w:pPr>
              <w:numPr>
                <w:ilvl w:val="0"/>
                <w:numId w:val="4"/>
              </w:numPr>
              <w:shd w:val="clear" w:color="auto" w:fill="FFFFFF"/>
              <w:tabs>
                <w:tab w:val="left" w:pos="720"/>
              </w:tabs>
              <w:spacing w:before="100" w:beforeAutospacing="1" w:after="0" w:afterAutospacing="1" w:line="240" w:lineRule="auto"/>
              <w:ind w:left="360"/>
              <w:textAlignment w:val="baseline"/>
              <w:rPr>
                <w:rFonts w:asciiTheme="minorHAnsi" w:hAnsiTheme="minorHAnsi" w:cstheme="minorHAnsi"/>
              </w:rPr>
            </w:pPr>
            <w:r w:rsidRPr="00C0398A">
              <w:rPr>
                <w:color w:val="000000"/>
                <w:sz w:val="24"/>
                <w:szCs w:val="24"/>
                <w:lang w:val="el" w:eastAsia="pl-PL"/>
              </w:rPr>
              <w:t>Ευέλικτες λύσεις χρόνου εργασίας</w:t>
            </w:r>
            <w:r w:rsidR="00530B6D" w:rsidRPr="00C0398A">
              <w:rPr>
                <w:color w:val="000000"/>
                <w:sz w:val="24"/>
                <w:szCs w:val="24"/>
                <w:lang w:val="el" w:eastAsia="pl-PL"/>
              </w:rPr>
              <w:t>.</w:t>
            </w: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6AE8" w:rsidRDefault="006049C6">
            <w:pPr>
              <w:rPr>
                <w:rFonts w:asciiTheme="minorHAnsi" w:eastAsia="Times New Roman" w:hAnsiTheme="minorHAnsi" w:cstheme="minorHAnsi"/>
                <w:b/>
                <w:bCs/>
                <w:color w:val="FFFFFF" w:themeColor="background1"/>
                <w:lang w:val="el-GR" w:eastAsia="en-GB"/>
              </w:rPr>
            </w:pPr>
            <w:r w:rsidRPr="005C508D">
              <w:rPr>
                <w:b/>
                <w:bCs/>
                <w:color w:val="FFFFFF" w:themeColor="background1"/>
                <w:lang w:val="el"/>
              </w:rPr>
              <w:lastRenderedPageBreak/>
              <w:t>Αυτοαξιολόγηση (ερωτήματα και απαντήσεις πολλαπλής επιλογής)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6AE8" w:rsidRDefault="006049C6">
            <w:pPr>
              <w:spacing w:after="0" w:line="240" w:lineRule="auto"/>
              <w:ind w:left="708"/>
              <w:textAlignment w:val="baseline"/>
              <w:rPr>
                <w:rFonts w:ascii="Times New Roman" w:eastAsia="Times New Roman" w:hAnsi="Times New Roman"/>
                <w:color w:val="266C9F"/>
                <w:sz w:val="24"/>
                <w:szCs w:val="24"/>
                <w:lang w:val="el-GR" w:eastAsia="en-GB"/>
              </w:rPr>
            </w:pPr>
          </w:p>
          <w:p w14:paraId="763E38DE" w14:textId="3C940F90" w:rsidR="009E1AC0" w:rsidRPr="00530B6D" w:rsidRDefault="006049C6" w:rsidP="00530B6D">
            <w:pPr>
              <w:spacing w:after="0" w:line="240" w:lineRule="auto"/>
              <w:ind w:left="10"/>
              <w:textAlignment w:val="baseline"/>
              <w:rPr>
                <w:rFonts w:ascii="Times New Roman" w:eastAsia="Times New Roman" w:hAnsi="Times New Roman"/>
                <w:sz w:val="24"/>
                <w:szCs w:val="24"/>
                <w:lang w:eastAsia="en-GB"/>
              </w:rPr>
            </w:pPr>
            <w:r w:rsidRPr="00530B6D">
              <w:rPr>
                <w:b/>
                <w:bCs/>
                <w:sz w:val="24"/>
                <w:szCs w:val="24"/>
                <w:lang w:val="el" w:eastAsia="en-GB"/>
              </w:rPr>
              <w:t>1.</w:t>
            </w:r>
            <w:r w:rsidR="005E5C73" w:rsidRPr="00530B6D">
              <w:rPr>
                <w:sz w:val="24"/>
                <w:szCs w:val="24"/>
                <w:lang w:val="el"/>
              </w:rPr>
              <w:t xml:space="preserve"> Κατά την περίοδο της κατάστασης της επιδημίας και της κατάστασης επιδημικής απειλής, οι υποχρεώσεις διενέργειας περιοδικών ιατρικών εξετάσεων ήταν</w:t>
            </w:r>
            <w:r w:rsidR="009E1AC0" w:rsidRPr="00530B6D">
              <w:rPr>
                <w:sz w:val="24"/>
                <w:szCs w:val="24"/>
                <w:lang w:val="el" w:eastAsia="en-GB"/>
              </w:rPr>
              <w:t>:</w:t>
            </w:r>
          </w:p>
          <w:p w14:paraId="4C189FFF" w14:textId="77777777" w:rsidR="009E1AC0" w:rsidRPr="00530B6D" w:rsidRDefault="009E1AC0" w:rsidP="009E1AC0">
            <w:pPr>
              <w:spacing w:after="0" w:line="240" w:lineRule="auto"/>
              <w:ind w:left="708"/>
              <w:textAlignment w:val="baseline"/>
              <w:rPr>
                <w:rFonts w:ascii="Times New Roman" w:eastAsia="Times New Roman" w:hAnsi="Times New Roman"/>
                <w:sz w:val="24"/>
                <w:szCs w:val="24"/>
                <w:lang w:eastAsia="en-GB"/>
              </w:rPr>
            </w:pPr>
          </w:p>
          <w:p w14:paraId="67BEE382" w14:textId="1013E7A2"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r w:rsidRPr="00530B6D">
              <w:rPr>
                <w:b/>
                <w:bCs/>
                <w:sz w:val="24"/>
                <w:szCs w:val="24"/>
                <w:lang w:val="el" w:eastAsia="en-GB"/>
              </w:rPr>
              <w:t>α.- αναρτήθηκε</w:t>
            </w:r>
            <w:r w:rsidR="0069071D">
              <w:rPr>
                <w:b/>
                <w:bCs/>
                <w:sz w:val="24"/>
                <w:szCs w:val="24"/>
                <w:lang w:val="el" w:eastAsia="en-GB"/>
              </w:rPr>
              <w:t>,</w:t>
            </w:r>
          </w:p>
          <w:p w14:paraId="212AE552" w14:textId="66A9E181"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β.- εξαιρείται</w:t>
            </w:r>
            <w:r w:rsidR="0069071D">
              <w:rPr>
                <w:sz w:val="24"/>
                <w:szCs w:val="24"/>
                <w:lang w:val="el" w:eastAsia="en-GB"/>
              </w:rPr>
              <w:t>,</w:t>
            </w:r>
          </w:p>
          <w:p w14:paraId="049852C2" w14:textId="1E3CFFC9" w:rsidR="006049C6"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γ.- περιορισμένη</w:t>
            </w:r>
            <w:r w:rsidR="0069071D">
              <w:rPr>
                <w:sz w:val="24"/>
                <w:szCs w:val="24"/>
                <w:lang w:val="el" w:eastAsia="en-GB"/>
              </w:rPr>
              <w:t>.</w:t>
            </w:r>
          </w:p>
          <w:p w14:paraId="0DE3FD22"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53296742" w14:textId="21AFDD3D" w:rsidR="009E1AC0" w:rsidRPr="00530B6D" w:rsidRDefault="006049C6" w:rsidP="00530B6D">
            <w:pPr>
              <w:spacing w:after="0" w:line="240" w:lineRule="auto"/>
              <w:textAlignment w:val="baseline"/>
              <w:rPr>
                <w:rFonts w:ascii="Times New Roman" w:eastAsia="Times New Roman" w:hAnsi="Times New Roman"/>
                <w:b/>
                <w:bCs/>
                <w:sz w:val="24"/>
                <w:szCs w:val="24"/>
                <w:lang w:eastAsia="en-GB"/>
              </w:rPr>
            </w:pPr>
            <w:r w:rsidRPr="00530B6D">
              <w:rPr>
                <w:sz w:val="24"/>
                <w:szCs w:val="24"/>
                <w:lang w:val="el" w:eastAsia="en-GB"/>
              </w:rPr>
              <w:t>2. Μπορεί</w:t>
            </w:r>
            <w:r w:rsidR="005E5C73" w:rsidRPr="00530B6D">
              <w:rPr>
                <w:sz w:val="24"/>
                <w:szCs w:val="24"/>
                <w:lang w:val="el"/>
              </w:rPr>
              <w:t xml:space="preserve">  ο εργοδότης να χορηγήσει στον εργαζόμενο την άδεια, εντός της προθεσμίας που αυτός ορίζει, χωρίς τη συγκατάθεση του εργαζομένου και χωρίς το πρόγραμμα άδειας</w:t>
            </w:r>
            <w:r w:rsidR="009E1AC0" w:rsidRPr="00530B6D">
              <w:rPr>
                <w:sz w:val="24"/>
                <w:szCs w:val="24"/>
                <w:lang w:val="el" w:eastAsia="en-GB"/>
              </w:rPr>
              <w:t>;</w:t>
            </w:r>
          </w:p>
          <w:p w14:paraId="766B401E"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0B87A361" w14:textId="252D8768"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α.- Όχι</w:t>
            </w:r>
            <w:r w:rsidR="0069071D">
              <w:rPr>
                <w:sz w:val="24"/>
                <w:szCs w:val="24"/>
                <w:lang w:val="el" w:eastAsia="en-GB"/>
              </w:rPr>
              <w:t>,</w:t>
            </w:r>
          </w:p>
          <w:p w14:paraId="6D938A0A" w14:textId="5EB05BE6"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r w:rsidRPr="00530B6D">
              <w:rPr>
                <w:b/>
                <w:bCs/>
                <w:sz w:val="24"/>
                <w:szCs w:val="24"/>
                <w:lang w:val="el" w:eastAsia="en-GB"/>
              </w:rPr>
              <w:t>β.- Ναι</w:t>
            </w:r>
            <w:r w:rsidR="0069071D">
              <w:rPr>
                <w:b/>
                <w:bCs/>
                <w:sz w:val="24"/>
                <w:szCs w:val="24"/>
                <w:lang w:val="el" w:eastAsia="en-GB"/>
              </w:rPr>
              <w:t>,</w:t>
            </w:r>
          </w:p>
          <w:p w14:paraId="62AB9AAA" w14:textId="2EC26C75" w:rsidR="006049C6"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γ.- Μόνο σε επείγουσες περιπτώσεις</w:t>
            </w:r>
            <w:r w:rsidR="0069071D">
              <w:rPr>
                <w:sz w:val="24"/>
                <w:szCs w:val="24"/>
                <w:lang w:val="el" w:eastAsia="en-GB"/>
              </w:rPr>
              <w:t>.</w:t>
            </w:r>
          </w:p>
          <w:p w14:paraId="459E1396"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05BCDF40" w14:textId="6EB191AB" w:rsidR="009E1AC0" w:rsidRPr="00530B6D" w:rsidRDefault="006049C6"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3. Το ύψος της αποζημίωσης απόλυσης για εργαζόμενους με οικονομικά προβλήματα περιορίζεται σε:</w:t>
            </w:r>
          </w:p>
          <w:p w14:paraId="39CD4C87" w14:textId="77777777"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p>
          <w:p w14:paraId="13FDAC50" w14:textId="5D85765E"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r w:rsidRPr="00530B6D">
              <w:rPr>
                <w:b/>
                <w:bCs/>
                <w:sz w:val="24"/>
                <w:szCs w:val="24"/>
                <w:lang w:val="el" w:eastAsia="en-GB"/>
              </w:rPr>
              <w:t xml:space="preserve">α.- </w:t>
            </w:r>
            <w:r w:rsidR="006C0DA8" w:rsidRPr="00530B6D">
              <w:rPr>
                <w:b/>
                <w:bCs/>
                <w:sz w:val="24"/>
                <w:szCs w:val="24"/>
                <w:lang w:val="el"/>
              </w:rPr>
              <w:t>10 φορές την ελάχιστη αναρίθμηση</w:t>
            </w:r>
            <w:r w:rsidR="0069071D">
              <w:rPr>
                <w:b/>
                <w:bCs/>
                <w:sz w:val="24"/>
                <w:szCs w:val="24"/>
                <w:lang w:val="el"/>
              </w:rPr>
              <w:t>,</w:t>
            </w:r>
          </w:p>
          <w:p w14:paraId="05C847AB" w14:textId="641AD64D"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 xml:space="preserve">β.- </w:t>
            </w:r>
            <w:r w:rsidR="006C0DA8" w:rsidRPr="00530B6D">
              <w:rPr>
                <w:sz w:val="24"/>
                <w:szCs w:val="24"/>
                <w:lang w:val="el"/>
              </w:rPr>
              <w:t>15 φορές την ελάχιστη αναρίθμηση</w:t>
            </w:r>
            <w:r w:rsidR="0069071D">
              <w:rPr>
                <w:sz w:val="24"/>
                <w:szCs w:val="24"/>
                <w:lang w:val="el"/>
              </w:rPr>
              <w:t>,</w:t>
            </w:r>
          </w:p>
          <w:p w14:paraId="6C5962D1" w14:textId="749C4639" w:rsidR="006049C6"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 xml:space="preserve">γ.- </w:t>
            </w:r>
            <w:r w:rsidR="006C0DA8" w:rsidRPr="00530B6D">
              <w:rPr>
                <w:sz w:val="24"/>
                <w:szCs w:val="24"/>
                <w:lang w:val="el"/>
              </w:rPr>
              <w:t>5 φορές την ελάχιστη αρίθμηση</w:t>
            </w:r>
            <w:r w:rsidR="0069071D">
              <w:rPr>
                <w:sz w:val="24"/>
                <w:szCs w:val="24"/>
                <w:lang w:val="el"/>
              </w:rPr>
              <w:t>.</w:t>
            </w:r>
          </w:p>
          <w:p w14:paraId="1495D1A1"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0E4A134F" w14:textId="2AB22A77" w:rsidR="00F3663B" w:rsidRPr="00530B6D" w:rsidRDefault="006049C6" w:rsidP="00530B6D">
            <w:pPr>
              <w:pStyle w:val="ListParagraph"/>
              <w:spacing w:after="0" w:line="240" w:lineRule="auto"/>
              <w:ind w:left="0"/>
              <w:rPr>
                <w:rFonts w:ascii="Times New Roman" w:hAnsi="Times New Roman"/>
                <w:sz w:val="24"/>
                <w:szCs w:val="24"/>
              </w:rPr>
            </w:pPr>
            <w:r w:rsidRPr="00530B6D">
              <w:rPr>
                <w:sz w:val="24"/>
                <w:szCs w:val="24"/>
                <w:lang w:val="el" w:eastAsia="en-GB"/>
              </w:rPr>
              <w:t>4.</w:t>
            </w:r>
            <w:r w:rsidR="00374717" w:rsidRPr="00530B6D">
              <w:rPr>
                <w:sz w:val="24"/>
                <w:szCs w:val="24"/>
                <w:lang w:val="el"/>
              </w:rPr>
              <w:t xml:space="preserve"> Ανεστάλη η υποχρέωση σύστασης ή λειτουργίας εταιρικού ταμείου κοινωνικών παροχών</w:t>
            </w:r>
            <w:r w:rsidR="0069071D">
              <w:rPr>
                <w:sz w:val="24"/>
                <w:szCs w:val="24"/>
                <w:lang w:val="el"/>
              </w:rPr>
              <w:t>:</w:t>
            </w:r>
          </w:p>
          <w:p w14:paraId="53005B88" w14:textId="4AD37CB7"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p>
          <w:p w14:paraId="3C12DA03" w14:textId="2A3EFB62"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r w:rsidRPr="00530B6D">
              <w:rPr>
                <w:b/>
                <w:bCs/>
                <w:sz w:val="24"/>
                <w:szCs w:val="24"/>
                <w:lang w:val="el" w:eastAsia="en-GB"/>
              </w:rPr>
              <w:t>α.- για εργαζόμενους σε δυσχερή οικονομική κατάσταση</w:t>
            </w:r>
            <w:r w:rsidR="0069071D">
              <w:rPr>
                <w:b/>
                <w:bCs/>
                <w:sz w:val="24"/>
                <w:szCs w:val="24"/>
                <w:lang w:val="el" w:eastAsia="en-GB"/>
              </w:rPr>
              <w:t>,</w:t>
            </w:r>
          </w:p>
          <w:p w14:paraId="3A42715E" w14:textId="4D3EB00C"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β.- για όλους τους εργαζόμενους</w:t>
            </w:r>
            <w:r w:rsidR="0069071D">
              <w:rPr>
                <w:sz w:val="24"/>
                <w:szCs w:val="24"/>
                <w:lang w:val="el" w:eastAsia="en-GB"/>
              </w:rPr>
              <w:t>,</w:t>
            </w:r>
          </w:p>
          <w:p w14:paraId="3C30DDD1" w14:textId="78F4A734" w:rsidR="006049C6"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γ.- για ένα έτος</w:t>
            </w:r>
            <w:r w:rsidR="0069071D">
              <w:rPr>
                <w:sz w:val="24"/>
                <w:szCs w:val="24"/>
                <w:lang w:val="el" w:eastAsia="en-GB"/>
              </w:rPr>
              <w:t>.</w:t>
            </w:r>
          </w:p>
          <w:p w14:paraId="5D5FE655"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20BF2207" w14:textId="0F3476AA" w:rsidR="009E1AC0" w:rsidRPr="00530B6D" w:rsidRDefault="006049C6" w:rsidP="00530B6D">
            <w:pPr>
              <w:spacing w:after="0" w:line="240" w:lineRule="auto"/>
              <w:textAlignment w:val="baseline"/>
              <w:rPr>
                <w:rFonts w:ascii="Times New Roman" w:eastAsia="Times New Roman" w:hAnsi="Times New Roman"/>
                <w:b/>
                <w:bCs/>
                <w:sz w:val="24"/>
                <w:szCs w:val="24"/>
                <w:lang w:eastAsia="en-GB"/>
              </w:rPr>
            </w:pPr>
            <w:r w:rsidRPr="00530B6D">
              <w:rPr>
                <w:b/>
                <w:bCs/>
                <w:sz w:val="24"/>
                <w:szCs w:val="24"/>
                <w:lang w:val="el" w:eastAsia="en-GB"/>
              </w:rPr>
              <w:t>5.</w:t>
            </w:r>
            <w:r w:rsidR="00F3663B" w:rsidRPr="0069071D">
              <w:rPr>
                <w:sz w:val="24"/>
                <w:szCs w:val="24"/>
                <w:lang w:val="el" w:eastAsia="en-GB"/>
              </w:rPr>
              <w:t xml:space="preserve">  Η συμφωνία περί μη ανταγωνισμού μπορεί να τερματιστεί με:</w:t>
            </w:r>
          </w:p>
          <w:p w14:paraId="5F8924BB"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2B5310FF" w14:textId="5CBF76D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α.- σημείωμα μιας ημέρας</w:t>
            </w:r>
            <w:r w:rsidR="0069071D">
              <w:rPr>
                <w:sz w:val="24"/>
                <w:szCs w:val="24"/>
                <w:lang w:val="el" w:eastAsia="en-GB"/>
              </w:rPr>
              <w:t>,</w:t>
            </w:r>
          </w:p>
          <w:p w14:paraId="2CBFD22A" w14:textId="383F072C"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sz w:val="24"/>
                <w:szCs w:val="24"/>
                <w:lang w:val="el" w:eastAsia="en-GB"/>
              </w:rPr>
              <w:t>β.- σημείωμα δύο εβδομάδων</w:t>
            </w:r>
            <w:r w:rsidR="0069071D">
              <w:rPr>
                <w:sz w:val="24"/>
                <w:szCs w:val="24"/>
                <w:lang w:val="el" w:eastAsia="en-GB"/>
              </w:rPr>
              <w:t>,</w:t>
            </w:r>
          </w:p>
          <w:p w14:paraId="39BA785D" w14:textId="6503007E" w:rsidR="006049C6" w:rsidRPr="00530B6D" w:rsidRDefault="009E1AC0" w:rsidP="00530B6D">
            <w:pPr>
              <w:spacing w:after="0" w:line="240" w:lineRule="auto"/>
              <w:textAlignment w:val="baseline"/>
              <w:rPr>
                <w:rFonts w:ascii="Times New Roman" w:eastAsia="Times New Roman" w:hAnsi="Times New Roman"/>
                <w:b/>
                <w:bCs/>
                <w:sz w:val="24"/>
                <w:szCs w:val="24"/>
                <w:lang w:eastAsia="en-GB"/>
              </w:rPr>
            </w:pPr>
            <w:r w:rsidRPr="00530B6D">
              <w:rPr>
                <w:b/>
                <w:bCs/>
                <w:sz w:val="24"/>
                <w:szCs w:val="24"/>
                <w:lang w:val="el" w:eastAsia="en-GB"/>
              </w:rPr>
              <w:t>γ.- σημείωμα επτά ημερών</w:t>
            </w:r>
            <w:r w:rsidR="0069071D">
              <w:rPr>
                <w:b/>
                <w:bCs/>
                <w:sz w:val="24"/>
                <w:szCs w:val="24"/>
                <w:lang w:val="el" w:eastAsia="en-GB"/>
              </w:rPr>
              <w:t>.</w:t>
            </w:r>
          </w:p>
          <w:p w14:paraId="41A84EAB" w14:textId="77777777" w:rsidR="006049C6" w:rsidRPr="00530B6D" w:rsidRDefault="006049C6">
            <w:pPr>
              <w:spacing w:after="0" w:line="240" w:lineRule="auto"/>
              <w:textAlignment w:val="baseline"/>
              <w:rPr>
                <w:rFonts w:ascii="Times New Roman" w:eastAsia="Times New Roman" w:hAnsi="Times New Roman"/>
                <w:color w:val="266C9F"/>
                <w:sz w:val="24"/>
                <w:szCs w:val="24"/>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lastRenderedPageBreak/>
              <w:t>Πηγές (βίντεο, σύνδεσμος αναφοράς)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4F69A4" w14:textId="32EDBAC0" w:rsidR="006049C6" w:rsidRPr="0069071D" w:rsidRDefault="00F10551">
            <w:pPr>
              <w:rPr>
                <w:rFonts w:ascii="Times New Roman" w:hAnsi="Times New Roman"/>
                <w:color w:val="1F3864" w:themeColor="accent1" w:themeShade="80"/>
                <w:lang w:val="es-ES"/>
              </w:rPr>
            </w:pPr>
            <w:r w:rsidRPr="005C6AE8">
              <w:rPr>
                <w:color w:val="1F3864" w:themeColor="accent1" w:themeShade="80"/>
              </w:rPr>
              <w:t>https://www.gov.pl/web/tarczaantykryzysowa; https://www.gov.pl/web/tarczaantykryzysowa/dodatkowe-wsparcie;</w:t>
            </w:r>
          </w:p>
          <w:p w14:paraId="2343762C" w14:textId="04C827C5" w:rsidR="00F10551" w:rsidRPr="0069071D" w:rsidRDefault="00C0398A">
            <w:pPr>
              <w:rPr>
                <w:rFonts w:ascii="Times New Roman" w:hAnsi="Times New Roman"/>
                <w:color w:val="1F3864" w:themeColor="accent1" w:themeShade="80"/>
                <w:lang w:val="es-ES"/>
              </w:rPr>
            </w:pPr>
            <w:hyperlink r:id="rId8" w:history="1">
              <w:r w:rsidR="0042432C" w:rsidRPr="005C6AE8">
                <w:rPr>
                  <w:rStyle w:val="Hyperlink"/>
                  <w:lang w:val="es-ES"/>
                </w:rPr>
                <w:t>http://yadda.icm.edu.pl/yadda/element/bwmeta1.element.ekon-element-000171604369</w:t>
              </w:r>
            </w:hyperlink>
            <w:r w:rsidR="00F10551" w:rsidRPr="005C6AE8">
              <w:rPr>
                <w:color w:val="1F3864" w:themeColor="accent1" w:themeShade="80"/>
                <w:lang w:val="es-ES"/>
              </w:rPr>
              <w:t>;</w:t>
            </w:r>
          </w:p>
          <w:p w14:paraId="06A90045" w14:textId="7EBA9BA8" w:rsidR="0042432C" w:rsidRPr="0069071D" w:rsidRDefault="00C0398A">
            <w:pPr>
              <w:rPr>
                <w:rFonts w:ascii="Times New Roman" w:hAnsi="Times New Roman"/>
                <w:color w:val="1F3864" w:themeColor="accent1" w:themeShade="80"/>
                <w:lang w:val="es-ES"/>
              </w:rPr>
            </w:pPr>
            <w:hyperlink r:id="rId9" w:history="1">
              <w:r w:rsidR="0042432C" w:rsidRPr="005C6AE8">
                <w:rPr>
                  <w:rStyle w:val="Hyperlink"/>
                  <w:lang w:val="es-ES"/>
                </w:rPr>
                <w:t>https://www.uzp.gov.pl/zamowienia-covid-19/tarcza-antykryzysowa-dla-biznesu-cykl-wideokonferencji2</w:t>
              </w:r>
            </w:hyperlink>
            <w:r w:rsidR="0042432C" w:rsidRPr="005C6AE8">
              <w:rPr>
                <w:color w:val="1F3864" w:themeColor="accent1" w:themeShade="80"/>
                <w:lang w:val="es-ES"/>
              </w:rPr>
              <w:t>;</w:t>
            </w:r>
          </w:p>
          <w:p w14:paraId="4AC7006C" w14:textId="4E2FA514" w:rsidR="0042432C" w:rsidRPr="0069071D" w:rsidRDefault="00DE0142">
            <w:pPr>
              <w:rPr>
                <w:rFonts w:ascii="Times New Roman" w:hAnsi="Times New Roman"/>
                <w:color w:val="1F3864" w:themeColor="accent1" w:themeShade="80"/>
                <w:lang w:val="es-ES"/>
              </w:rPr>
            </w:pPr>
            <w:r w:rsidRPr="005C6AE8">
              <w:rPr>
                <w:color w:val="1F3864" w:themeColor="accent1" w:themeShade="80"/>
                <w:lang w:val="es-ES"/>
              </w:rPr>
              <w:t>https://www.parp.gov.pl/tarcza#harmonogram;</w:t>
            </w: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Σχετικό υλικό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Σχετικά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428154B" w:rsidR="006049C6" w:rsidRPr="001B0D25" w:rsidRDefault="001B0D25">
            <w:pPr>
              <w:rPr>
                <w:rFonts w:asciiTheme="minorHAnsi" w:hAnsiTheme="minorHAnsi" w:cstheme="minorHAnsi"/>
                <w:color w:val="000000" w:themeColor="text1"/>
                <w:lang w:val="es-ES"/>
              </w:rPr>
            </w:pPr>
            <w:r w:rsidRPr="001B0D25">
              <w:rPr>
                <w:color w:val="000000" w:themeColor="text1"/>
                <w:lang w:val="el"/>
              </w:rPr>
              <w:t>ESMERALD_</w:t>
            </w:r>
            <w:r w:rsidR="00CD5F98">
              <w:rPr>
                <w:color w:val="000000" w:themeColor="text1"/>
                <w:lang w:val="el"/>
              </w:rPr>
              <w:t>...................</w:t>
            </w:r>
            <w:r>
              <w:rPr>
                <w:lang w:val="el"/>
              </w:rPr>
              <w:t xml:space="preserve"> </w:t>
            </w:r>
            <w:r w:rsidRPr="001B0D25">
              <w:rPr>
                <w:color w:val="000000" w:themeColor="text1"/>
                <w:lang w:val="el"/>
              </w:rPr>
              <w:t>..pptx</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t>Βιβλιογραφία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175768" w14:textId="77777777" w:rsidR="00C0398A" w:rsidRPr="00BC1BF0" w:rsidRDefault="00C0398A" w:rsidP="00C0398A">
            <w:pPr>
              <w:jc w:val="both"/>
              <w:rPr>
                <w:rFonts w:ascii="Times New Roman" w:hAnsi="Times New Roman"/>
                <w:color w:val="000000" w:themeColor="text1"/>
                <w:sz w:val="24"/>
                <w:szCs w:val="24"/>
                <w:lang w:val="es-ES"/>
              </w:rPr>
            </w:pPr>
            <w:r w:rsidRPr="00BC1BF0">
              <w:rPr>
                <w:rFonts w:ascii="Times New Roman" w:hAnsi="Times New Roman"/>
                <w:i/>
                <w:iCs/>
                <w:sz w:val="24"/>
                <w:szCs w:val="24"/>
              </w:rPr>
              <w:t>Coronavirus (COVID-19): SME Policy Responses</w:t>
            </w:r>
            <w:r w:rsidRPr="00BC1BF0">
              <w:rPr>
                <w:rFonts w:ascii="Times New Roman" w:hAnsi="Times New Roman"/>
                <w:sz w:val="24"/>
                <w:szCs w:val="24"/>
              </w:rPr>
              <w:t xml:space="preserve">, OECD, updated 15 July 2020. </w:t>
            </w:r>
          </w:p>
          <w:p w14:paraId="56811D47" w14:textId="77777777" w:rsidR="00C0398A" w:rsidRPr="00BC1BF0" w:rsidRDefault="00C0398A" w:rsidP="00C0398A">
            <w:pPr>
              <w:jc w:val="both"/>
              <w:rPr>
                <w:rFonts w:ascii="Times New Roman" w:hAnsi="Times New Roman"/>
                <w:sz w:val="24"/>
                <w:szCs w:val="24"/>
              </w:rPr>
            </w:pPr>
            <w:r w:rsidRPr="00BC1BF0">
              <w:rPr>
                <w:rFonts w:ascii="Times New Roman" w:hAnsi="Times New Roman"/>
                <w:i/>
                <w:iCs/>
                <w:sz w:val="24"/>
                <w:szCs w:val="24"/>
              </w:rPr>
              <w:t>Raport o stanie sektora małych i średnich przedsiębiorstw w Polsce</w:t>
            </w:r>
            <w:r w:rsidRPr="00BC1BF0">
              <w:rPr>
                <w:rFonts w:ascii="Times New Roman" w:hAnsi="Times New Roman"/>
                <w:sz w:val="24"/>
                <w:szCs w:val="24"/>
              </w:rPr>
              <w:t>, PARP, Warszawa 2020;</w:t>
            </w:r>
          </w:p>
          <w:p w14:paraId="324D073C" w14:textId="77777777" w:rsidR="00C0398A" w:rsidRDefault="00C0398A" w:rsidP="00C0398A">
            <w:pPr>
              <w:pStyle w:val="Heading3"/>
              <w:shd w:val="clear" w:color="auto" w:fill="FFFFFF"/>
              <w:spacing w:before="60" w:line="312" w:lineRule="atLeast"/>
              <w:jc w:val="both"/>
              <w:textAlignment w:val="baseline"/>
              <w:outlineLvl w:val="2"/>
              <w:rPr>
                <w:rFonts w:ascii="Times New Roman" w:eastAsia="Times New Roman" w:hAnsi="Times New Roman" w:cs="Times New Roman"/>
                <w:color w:val="333333"/>
                <w:lang w:val="pl-PL" w:eastAsia="pl-PL"/>
              </w:rPr>
            </w:pPr>
            <w:r w:rsidRPr="00BC1BF0">
              <w:rPr>
                <w:rFonts w:ascii="Times New Roman" w:hAnsi="Times New Roman" w:cs="Times New Roman"/>
                <w:color w:val="222222"/>
                <w:shd w:val="clear" w:color="auto" w:fill="FFFFFF"/>
              </w:rPr>
              <w:t xml:space="preserve">M. Latos-Miłkowska, </w:t>
            </w:r>
            <w:r w:rsidRPr="00BC1BF0">
              <w:rPr>
                <w:rFonts w:ascii="Times New Roman" w:hAnsi="Times New Roman" w:cs="Times New Roman"/>
                <w:i/>
                <w:iCs/>
                <w:color w:val="222222"/>
                <w:shd w:val="clear" w:color="auto" w:fill="FFFFFF"/>
              </w:rPr>
              <w:t>Collective Agreements in the Anti-Crisis Shield</w:t>
            </w:r>
            <w:r w:rsidRPr="00BC1BF0">
              <w:rPr>
                <w:rFonts w:ascii="Times New Roman" w:hAnsi="Times New Roman" w:cs="Times New Roman"/>
                <w:color w:val="222222"/>
                <w:shd w:val="clear" w:color="auto" w:fill="FFFFFF"/>
              </w:rPr>
              <w:t xml:space="preserve">, </w:t>
            </w:r>
            <w:r w:rsidRPr="00BC1BF0">
              <w:rPr>
                <w:rFonts w:ascii="Times New Roman" w:eastAsia="Times New Roman" w:hAnsi="Times New Roman" w:cs="Times New Roman"/>
                <w:color w:val="333333"/>
                <w:lang w:val="pl-PL" w:eastAsia="pl-PL"/>
              </w:rPr>
              <w:t>Praca i Zabezpieczenie Społeczne 2020/10.</w:t>
            </w:r>
          </w:p>
          <w:p w14:paraId="501B457D" w14:textId="77777777" w:rsidR="00C0398A" w:rsidRDefault="00C0398A" w:rsidP="00C0398A">
            <w:pPr>
              <w:pStyle w:val="even"/>
              <w:pBdr>
                <w:top w:val="dotted" w:sz="6" w:space="2" w:color="CCCCCC"/>
              </w:pBdr>
              <w:spacing w:before="0" w:beforeAutospacing="0" w:after="0" w:afterAutospacing="0"/>
              <w:jc w:val="both"/>
              <w:textAlignment w:val="baseline"/>
              <w:rPr>
                <w:color w:val="222222"/>
              </w:rPr>
            </w:pPr>
          </w:p>
          <w:p w14:paraId="4145AB32" w14:textId="77777777" w:rsidR="00C0398A" w:rsidRDefault="00C0398A" w:rsidP="00C0398A">
            <w:pPr>
              <w:pStyle w:val="even"/>
              <w:pBdr>
                <w:top w:val="dotted" w:sz="6" w:space="2" w:color="CCCCCC"/>
              </w:pBdr>
              <w:spacing w:before="0" w:beforeAutospacing="0" w:after="0" w:afterAutospacing="0"/>
              <w:jc w:val="both"/>
              <w:textAlignment w:val="baseline"/>
              <w:rPr>
                <w:color w:val="222222"/>
              </w:rPr>
            </w:pPr>
            <w:r w:rsidRPr="00BC1BF0">
              <w:rPr>
                <w:color w:val="222222"/>
              </w:rPr>
              <w:t xml:space="preserve">Ł. Pisarczyk, A. Boguska, </w:t>
            </w:r>
            <w:r w:rsidRPr="00BC1BF0">
              <w:rPr>
                <w:i/>
                <w:iCs/>
                <w:color w:val="222222"/>
              </w:rPr>
              <w:t>Sfera zatrudnienia w działaniach antykryzysowych. Wybrane zagadnienia</w:t>
            </w:r>
            <w:r>
              <w:rPr>
                <w:color w:val="222222"/>
              </w:rPr>
              <w:t>,</w:t>
            </w:r>
            <w:r w:rsidRPr="00BC1BF0">
              <w:rPr>
                <w:color w:val="222222"/>
              </w:rPr>
              <w:t xml:space="preserve"> Monitor Prawa Pracy, 2020/9.</w:t>
            </w:r>
          </w:p>
          <w:p w14:paraId="28C56E63" w14:textId="77777777" w:rsidR="00C0398A" w:rsidRDefault="00C0398A" w:rsidP="00C0398A">
            <w:pPr>
              <w:pStyle w:val="even"/>
              <w:pBdr>
                <w:top w:val="dotted" w:sz="6" w:space="2" w:color="CCCCCC"/>
              </w:pBdr>
              <w:spacing w:before="0" w:beforeAutospacing="0" w:after="0" w:afterAutospacing="0"/>
              <w:jc w:val="both"/>
              <w:textAlignment w:val="baseline"/>
              <w:rPr>
                <w:color w:val="222222"/>
              </w:rPr>
            </w:pPr>
          </w:p>
          <w:p w14:paraId="3928A1E9" w14:textId="77777777" w:rsidR="00C0398A" w:rsidRDefault="00C0398A" w:rsidP="00C0398A">
            <w:pPr>
              <w:pStyle w:val="even"/>
              <w:pBdr>
                <w:top w:val="dotted" w:sz="6" w:space="2" w:color="CCCCCC"/>
              </w:pBdr>
              <w:spacing w:before="0" w:beforeAutospacing="0" w:after="0" w:afterAutospacing="0"/>
              <w:jc w:val="both"/>
              <w:textAlignment w:val="baseline"/>
            </w:pPr>
            <w:r>
              <w:rPr>
                <w:color w:val="222222"/>
              </w:rPr>
              <w:t xml:space="preserve">M. Karkowska, </w:t>
            </w:r>
            <w:r w:rsidRPr="00DE0142">
              <w:rPr>
                <w:i/>
                <w:iCs/>
              </w:rPr>
              <w:t>Between the letter of the law and practice. Responses to top-down regulations related to the spread of COVID-19 in 2020 and 2021</w:t>
            </w:r>
            <w:r>
              <w:t>, Studia BAS, 1(69)2022.</w:t>
            </w:r>
          </w:p>
          <w:p w14:paraId="66D8283B" w14:textId="77777777" w:rsidR="00C0398A" w:rsidRDefault="00C0398A" w:rsidP="00C0398A">
            <w:pPr>
              <w:pStyle w:val="even"/>
              <w:pBdr>
                <w:top w:val="dotted" w:sz="6" w:space="2" w:color="CCCCCC"/>
              </w:pBdr>
              <w:spacing w:before="0" w:beforeAutospacing="0" w:after="0" w:afterAutospacing="0"/>
              <w:jc w:val="both"/>
              <w:textAlignment w:val="baseline"/>
            </w:pPr>
          </w:p>
          <w:p w14:paraId="15D24FED" w14:textId="47E363BE" w:rsidR="00F10551" w:rsidRPr="00C0398A" w:rsidRDefault="00C0398A" w:rsidP="00C0398A">
            <w:pPr>
              <w:pStyle w:val="even"/>
              <w:pBdr>
                <w:top w:val="dotted" w:sz="6" w:space="2" w:color="CCCCCC"/>
              </w:pBdr>
              <w:spacing w:before="0" w:beforeAutospacing="0" w:after="0" w:afterAutospacing="0"/>
              <w:jc w:val="both"/>
              <w:textAlignment w:val="baseline"/>
              <w:rPr>
                <w:color w:val="222222"/>
              </w:rPr>
            </w:pPr>
            <w:r>
              <w:t xml:space="preserve">M. Mędrala, </w:t>
            </w:r>
            <w:r w:rsidRPr="00DE0142">
              <w:rPr>
                <w:i/>
                <w:iCs/>
                <w:color w:val="242434"/>
                <w:shd w:val="clear" w:color="auto" w:fill="FFFFFF"/>
              </w:rPr>
              <w:t>Ograniczenia praw zatrudnionych w tarczy 4.0 – niektóre refleksje w kontekście zasad konstytucyjnych</w:t>
            </w:r>
            <w:r w:rsidRPr="00DE0142">
              <w:rPr>
                <w:color w:val="242434"/>
                <w:shd w:val="clear" w:color="auto" w:fill="FFFFFF"/>
              </w:rPr>
              <w:t>, Monitor Prawa Pracy 9/2020.</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t>Παρέχεται από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A3C0D8F" w:rsidR="006049C6" w:rsidRPr="00EE1335" w:rsidRDefault="00C0398A">
            <w:pPr>
              <w:rPr>
                <w:rFonts w:asciiTheme="minorHAnsi" w:hAnsiTheme="minorHAnsi" w:cstheme="minorHAnsi"/>
                <w:color w:val="000000" w:themeColor="text1"/>
                <w:lang w:val="es-ES"/>
              </w:rPr>
            </w:pPr>
            <w:r w:rsidRPr="00C0398A">
              <w:rPr>
                <w:color w:val="000000" w:themeColor="text1"/>
                <w:lang w:val="el"/>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1F26B5A7" w:rsidR="00A4144D" w:rsidRPr="005C508D" w:rsidRDefault="00C0398A" w:rsidP="005D3D97">
      <w:pPr>
        <w:rPr>
          <w:rFonts w:asciiTheme="minorHAnsi" w:hAnsiTheme="minorHAnsi" w:cstheme="minorHAnsi"/>
        </w:rPr>
      </w:pPr>
    </w:p>
    <w:sectPr w:rsidR="00A4144D"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FD70" w14:textId="77777777" w:rsidR="00404AB3" w:rsidRDefault="00404AB3" w:rsidP="005D3D97">
      <w:pPr>
        <w:spacing w:after="0" w:line="240" w:lineRule="auto"/>
      </w:pPr>
      <w:r>
        <w:rPr>
          <w:lang w:val="el"/>
        </w:rPr>
        <w:separator/>
      </w:r>
    </w:p>
  </w:endnote>
  <w:endnote w:type="continuationSeparator" w:id="0">
    <w:p w14:paraId="301B9A68" w14:textId="77777777" w:rsidR="00404AB3" w:rsidRDefault="00404AB3" w:rsidP="005D3D97">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YADLjI9qxTA 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e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C6AE8"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Erasmus+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C6AE8"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Erasmus+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v:textbox>
              <w10:wrap anchorx="page"/>
            </v:shape>
          </w:pict>
        </mc:Fallback>
      </mc:AlternateContent>
    </w:r>
    <w:r w:rsidRPr="00505F0E">
      <w:rPr>
        <w:noProof/>
        <w:lang w:val="e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60FC" w14:textId="77777777" w:rsidR="00404AB3" w:rsidRDefault="00404AB3" w:rsidP="005D3D97">
      <w:pPr>
        <w:spacing w:after="0" w:line="240" w:lineRule="auto"/>
      </w:pPr>
      <w:r>
        <w:rPr>
          <w:lang w:val="el"/>
        </w:rPr>
        <w:separator/>
      </w:r>
    </w:p>
  </w:footnote>
  <w:footnote w:type="continuationSeparator" w:id="0">
    <w:p w14:paraId="76933400" w14:textId="77777777" w:rsidR="00404AB3" w:rsidRDefault="00404AB3" w:rsidP="005D3D97">
      <w:pPr>
        <w:spacing w:after="0" w:line="240" w:lineRule="auto"/>
      </w:pPr>
      <w:r>
        <w:rPr>
          <w:lang w:val="e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6BFD" w14:textId="77777777" w:rsidR="0028743E" w:rsidRDefault="0028743E" w:rsidP="0028743E">
    <w:pPr>
      <w:spacing w:after="0" w:line="240" w:lineRule="auto"/>
      <w:jc w:val="center"/>
      <w:rPr>
        <w:b/>
        <w:bCs/>
        <w:lang w:val="el"/>
      </w:rPr>
    </w:pPr>
    <w:r w:rsidRPr="000C31A9">
      <w:rPr>
        <w:b/>
        <w:bCs/>
        <w:noProof/>
        <w:lang w:val="el"/>
      </w:rPr>
      <w:drawing>
        <wp:anchor distT="0" distB="0" distL="114300" distR="114300" simplePos="0" relativeHeight="251669504" behindDoc="1" locked="0" layoutInCell="1" allowOverlap="1" wp14:anchorId="603FB7F1" wp14:editId="07809217">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descr="Διάγραμμα&#10;&#10;Περιγραφή που δημιουργείται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10;&#10;Description automatically generated"/>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b/>
        <w:bCs/>
        <w:lang w:val="el"/>
      </w:rPr>
      <w:t>Ενίσχυση της ανθεκτικότητας των ΜΜΕ</w:t>
    </w:r>
  </w:p>
  <w:p w14:paraId="23DD61D6" w14:textId="77777777" w:rsidR="0028743E" w:rsidRDefault="0028743E" w:rsidP="0028743E">
    <w:pPr>
      <w:spacing w:line="240" w:lineRule="auto"/>
      <w:jc w:val="center"/>
      <w:rPr>
        <w:b/>
        <w:bCs/>
        <w:lang w:val="el"/>
      </w:rPr>
    </w:pPr>
    <w:r w:rsidRPr="000C31A9">
      <w:rPr>
        <w:b/>
        <w:bCs/>
        <w:lang w:val="el"/>
      </w:rPr>
      <w:t xml:space="preserve"> μετά τ</w:t>
    </w:r>
    <w:r>
      <w:rPr>
        <w:b/>
        <w:bCs/>
        <w:lang w:val="el"/>
      </w:rPr>
      <w:t>α περιοριστικά μέτρα</w:t>
    </w:r>
    <w:r w:rsidRPr="000C31A9">
      <w:rPr>
        <w:b/>
        <w:bCs/>
        <w:lang w:val="el"/>
      </w:rPr>
      <w:t xml:space="preserve"> </w:t>
    </w:r>
    <w:r>
      <w:rPr>
        <w:b/>
        <w:bCs/>
        <w:lang w:val="el"/>
      </w:rPr>
      <w:t>(</w:t>
    </w:r>
    <w:r w:rsidRPr="000C31A9">
      <w:rPr>
        <w:b/>
        <w:bCs/>
        <w:lang w:val="el"/>
      </w:rPr>
      <w:t>κλείδωμα</w:t>
    </w:r>
    <w:r>
      <w:rPr>
        <w:b/>
        <w:bCs/>
        <w:lang w:val="el"/>
      </w:rPr>
      <w:t>)</w:t>
    </w:r>
  </w:p>
  <w:p w14:paraId="635AD7A1" w14:textId="7EFF262E" w:rsidR="005D3D97" w:rsidRDefault="005D3D97" w:rsidP="0028743E">
    <w:pPr>
      <w:spacing w:line="240" w:lineRule="auto"/>
      <w:jc w:val="center"/>
    </w:pPr>
    <w:r w:rsidRPr="000C31A9">
      <w:rPr>
        <w:b/>
        <w:bCs/>
        <w:color w:val="0CA373"/>
        <w:lang w:val="el"/>
      </w:rPr>
      <w:t>www.esmerald.eu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61BA3"/>
    <w:multiLevelType w:val="hybridMultilevel"/>
    <w:tmpl w:val="E7F2CBC4"/>
    <w:lvl w:ilvl="0" w:tplc="94806C00">
      <w:start w:val="1"/>
      <w:numFmt w:val="bullet"/>
      <w:lvlText w:val=""/>
      <w:lvlJc w:val="left"/>
      <w:pPr>
        <w:tabs>
          <w:tab w:val="num" w:pos="720"/>
        </w:tabs>
        <w:ind w:left="720" w:hanging="360"/>
      </w:pPr>
      <w:rPr>
        <w:rFonts w:ascii="Symbol" w:hAnsi="Symbol" w:hint="default"/>
      </w:rPr>
    </w:lvl>
    <w:lvl w:ilvl="1" w:tplc="C5F4D960" w:tentative="1">
      <w:start w:val="1"/>
      <w:numFmt w:val="bullet"/>
      <w:lvlText w:val=""/>
      <w:lvlJc w:val="left"/>
      <w:pPr>
        <w:tabs>
          <w:tab w:val="num" w:pos="1440"/>
        </w:tabs>
        <w:ind w:left="1440" w:hanging="360"/>
      </w:pPr>
      <w:rPr>
        <w:rFonts w:ascii="Symbol" w:hAnsi="Symbol" w:hint="default"/>
      </w:rPr>
    </w:lvl>
    <w:lvl w:ilvl="2" w:tplc="FB0A7484" w:tentative="1">
      <w:start w:val="1"/>
      <w:numFmt w:val="bullet"/>
      <w:lvlText w:val=""/>
      <w:lvlJc w:val="left"/>
      <w:pPr>
        <w:tabs>
          <w:tab w:val="num" w:pos="2160"/>
        </w:tabs>
        <w:ind w:left="2160" w:hanging="360"/>
      </w:pPr>
      <w:rPr>
        <w:rFonts w:ascii="Symbol" w:hAnsi="Symbol" w:hint="default"/>
      </w:rPr>
    </w:lvl>
    <w:lvl w:ilvl="3" w:tplc="5FFCA32C" w:tentative="1">
      <w:start w:val="1"/>
      <w:numFmt w:val="bullet"/>
      <w:lvlText w:val=""/>
      <w:lvlJc w:val="left"/>
      <w:pPr>
        <w:tabs>
          <w:tab w:val="num" w:pos="2880"/>
        </w:tabs>
        <w:ind w:left="2880" w:hanging="360"/>
      </w:pPr>
      <w:rPr>
        <w:rFonts w:ascii="Symbol" w:hAnsi="Symbol" w:hint="default"/>
      </w:rPr>
    </w:lvl>
    <w:lvl w:ilvl="4" w:tplc="41060680" w:tentative="1">
      <w:start w:val="1"/>
      <w:numFmt w:val="bullet"/>
      <w:lvlText w:val=""/>
      <w:lvlJc w:val="left"/>
      <w:pPr>
        <w:tabs>
          <w:tab w:val="num" w:pos="3600"/>
        </w:tabs>
        <w:ind w:left="3600" w:hanging="360"/>
      </w:pPr>
      <w:rPr>
        <w:rFonts w:ascii="Symbol" w:hAnsi="Symbol" w:hint="default"/>
      </w:rPr>
    </w:lvl>
    <w:lvl w:ilvl="5" w:tplc="CF2E91E2" w:tentative="1">
      <w:start w:val="1"/>
      <w:numFmt w:val="bullet"/>
      <w:lvlText w:val=""/>
      <w:lvlJc w:val="left"/>
      <w:pPr>
        <w:tabs>
          <w:tab w:val="num" w:pos="4320"/>
        </w:tabs>
        <w:ind w:left="4320" w:hanging="360"/>
      </w:pPr>
      <w:rPr>
        <w:rFonts w:ascii="Symbol" w:hAnsi="Symbol" w:hint="default"/>
      </w:rPr>
    </w:lvl>
    <w:lvl w:ilvl="6" w:tplc="1E54BD04" w:tentative="1">
      <w:start w:val="1"/>
      <w:numFmt w:val="bullet"/>
      <w:lvlText w:val=""/>
      <w:lvlJc w:val="left"/>
      <w:pPr>
        <w:tabs>
          <w:tab w:val="num" w:pos="5040"/>
        </w:tabs>
        <w:ind w:left="5040" w:hanging="360"/>
      </w:pPr>
      <w:rPr>
        <w:rFonts w:ascii="Symbol" w:hAnsi="Symbol" w:hint="default"/>
      </w:rPr>
    </w:lvl>
    <w:lvl w:ilvl="7" w:tplc="E32A3E8A" w:tentative="1">
      <w:start w:val="1"/>
      <w:numFmt w:val="bullet"/>
      <w:lvlText w:val=""/>
      <w:lvlJc w:val="left"/>
      <w:pPr>
        <w:tabs>
          <w:tab w:val="num" w:pos="5760"/>
        </w:tabs>
        <w:ind w:left="5760" w:hanging="360"/>
      </w:pPr>
      <w:rPr>
        <w:rFonts w:ascii="Symbol" w:hAnsi="Symbol" w:hint="default"/>
      </w:rPr>
    </w:lvl>
    <w:lvl w:ilvl="8" w:tplc="A20082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38EB4854"/>
    <w:multiLevelType w:val="multilevel"/>
    <w:tmpl w:val="ED5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86DAD"/>
    <w:multiLevelType w:val="hybridMultilevel"/>
    <w:tmpl w:val="0C707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3F2926"/>
    <w:multiLevelType w:val="multilevel"/>
    <w:tmpl w:val="C0A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407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306317">
    <w:abstractNumId w:val="2"/>
  </w:num>
  <w:num w:numId="3" w16cid:durableId="52852006">
    <w:abstractNumId w:val="0"/>
  </w:num>
  <w:num w:numId="4" w16cid:durableId="306591957">
    <w:abstractNumId w:val="5"/>
  </w:num>
  <w:num w:numId="5" w16cid:durableId="195050948">
    <w:abstractNumId w:val="4"/>
  </w:num>
  <w:num w:numId="6" w16cid:durableId="1761874824">
    <w:abstractNumId w:val="1"/>
  </w:num>
  <w:num w:numId="7" w16cid:durableId="1911965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556A5"/>
    <w:rsid w:val="000C31A9"/>
    <w:rsid w:val="000F62D0"/>
    <w:rsid w:val="00176774"/>
    <w:rsid w:val="001B0D25"/>
    <w:rsid w:val="001B7C17"/>
    <w:rsid w:val="0026414E"/>
    <w:rsid w:val="0028743E"/>
    <w:rsid w:val="002A018E"/>
    <w:rsid w:val="002E0B26"/>
    <w:rsid w:val="00374717"/>
    <w:rsid w:val="00404AB3"/>
    <w:rsid w:val="0040679B"/>
    <w:rsid w:val="0042432C"/>
    <w:rsid w:val="004E43D5"/>
    <w:rsid w:val="00505F0E"/>
    <w:rsid w:val="00530B6D"/>
    <w:rsid w:val="005519F6"/>
    <w:rsid w:val="0055514A"/>
    <w:rsid w:val="00560D36"/>
    <w:rsid w:val="005C508D"/>
    <w:rsid w:val="005C6AE8"/>
    <w:rsid w:val="005C764F"/>
    <w:rsid w:val="005D3D97"/>
    <w:rsid w:val="005E5C73"/>
    <w:rsid w:val="005F5748"/>
    <w:rsid w:val="006049C6"/>
    <w:rsid w:val="006228C9"/>
    <w:rsid w:val="00647EE1"/>
    <w:rsid w:val="0069071D"/>
    <w:rsid w:val="006975E6"/>
    <w:rsid w:val="006C0DA8"/>
    <w:rsid w:val="006F1399"/>
    <w:rsid w:val="007056E7"/>
    <w:rsid w:val="00733F3B"/>
    <w:rsid w:val="00766537"/>
    <w:rsid w:val="00774CCE"/>
    <w:rsid w:val="00817BFA"/>
    <w:rsid w:val="00876FE1"/>
    <w:rsid w:val="008E2D90"/>
    <w:rsid w:val="008E663E"/>
    <w:rsid w:val="00930854"/>
    <w:rsid w:val="009621A6"/>
    <w:rsid w:val="009D3E93"/>
    <w:rsid w:val="009E1AC0"/>
    <w:rsid w:val="00A43ECC"/>
    <w:rsid w:val="00B206EA"/>
    <w:rsid w:val="00BB78FC"/>
    <w:rsid w:val="00BC1BF0"/>
    <w:rsid w:val="00C0398A"/>
    <w:rsid w:val="00C17ABD"/>
    <w:rsid w:val="00CD5F98"/>
    <w:rsid w:val="00CE4C23"/>
    <w:rsid w:val="00D74B58"/>
    <w:rsid w:val="00D858D3"/>
    <w:rsid w:val="00D87393"/>
    <w:rsid w:val="00DE0142"/>
    <w:rsid w:val="00E269A3"/>
    <w:rsid w:val="00EB32A2"/>
    <w:rsid w:val="00EC6E95"/>
    <w:rsid w:val="00EE1335"/>
    <w:rsid w:val="00F0471E"/>
    <w:rsid w:val="00F10551"/>
    <w:rsid w:val="00F3663B"/>
    <w:rsid w:val="00FC68F2"/>
    <w:rsid w:val="00FD035C"/>
    <w:rsid w:val="00FF39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paragraph" w:styleId="Heading3">
    <w:name w:val="heading 3"/>
    <w:basedOn w:val="Normal"/>
    <w:next w:val="Normal"/>
    <w:link w:val="Heading3Char"/>
    <w:uiPriority w:val="9"/>
    <w:semiHidden/>
    <w:unhideWhenUsed/>
    <w:qFormat/>
    <w:rsid w:val="00EB32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34"/>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BFA"/>
    <w:rPr>
      <w:color w:val="0563C1" w:themeColor="hyperlink"/>
      <w:u w:val="single"/>
    </w:rPr>
  </w:style>
  <w:style w:type="character" w:styleId="UnresolvedMention">
    <w:name w:val="Unresolved Mention"/>
    <w:basedOn w:val="DefaultParagraphFont"/>
    <w:uiPriority w:val="99"/>
    <w:semiHidden/>
    <w:unhideWhenUsed/>
    <w:rsid w:val="00817BFA"/>
    <w:rPr>
      <w:color w:val="605E5C"/>
      <w:shd w:val="clear" w:color="auto" w:fill="E1DFDD"/>
    </w:rPr>
  </w:style>
  <w:style w:type="character" w:customStyle="1" w:styleId="Heading3Char">
    <w:name w:val="Heading 3 Char"/>
    <w:basedOn w:val="DefaultParagraphFont"/>
    <w:link w:val="Heading3"/>
    <w:uiPriority w:val="9"/>
    <w:semiHidden/>
    <w:rsid w:val="00EB32A2"/>
    <w:rPr>
      <w:rFonts w:asciiTheme="majorHAnsi" w:eastAsiaTheme="majorEastAsia" w:hAnsiTheme="majorHAnsi" w:cstheme="majorBidi"/>
      <w:color w:val="1F3763" w:themeColor="accent1" w:themeShade="7F"/>
      <w:sz w:val="24"/>
      <w:szCs w:val="24"/>
      <w:lang w:val="it-IT"/>
    </w:rPr>
  </w:style>
  <w:style w:type="paragraph" w:customStyle="1" w:styleId="even">
    <w:name w:val="even"/>
    <w:basedOn w:val="Normal"/>
    <w:rsid w:val="00560D36"/>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5C6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39756905">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35986757">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098404432">
      <w:bodyDiv w:val="1"/>
      <w:marLeft w:val="0"/>
      <w:marRight w:val="0"/>
      <w:marTop w:val="0"/>
      <w:marBottom w:val="0"/>
      <w:divBdr>
        <w:top w:val="none" w:sz="0" w:space="0" w:color="auto"/>
        <w:left w:val="none" w:sz="0" w:space="0" w:color="auto"/>
        <w:bottom w:val="none" w:sz="0" w:space="0" w:color="auto"/>
        <w:right w:val="none" w:sz="0" w:space="0" w:color="auto"/>
      </w:divBdr>
      <w:divsChild>
        <w:div w:id="322928342">
          <w:marLeft w:val="547"/>
          <w:marRight w:val="0"/>
          <w:marTop w:val="0"/>
          <w:marBottom w:val="200"/>
          <w:divBdr>
            <w:top w:val="none" w:sz="0" w:space="0" w:color="auto"/>
            <w:left w:val="none" w:sz="0" w:space="0" w:color="auto"/>
            <w:bottom w:val="none" w:sz="0" w:space="0" w:color="auto"/>
            <w:right w:val="none" w:sz="0" w:space="0" w:color="auto"/>
          </w:divBdr>
        </w:div>
        <w:div w:id="1086918480">
          <w:marLeft w:val="547"/>
          <w:marRight w:val="0"/>
          <w:marTop w:val="0"/>
          <w:marBottom w:val="200"/>
          <w:divBdr>
            <w:top w:val="none" w:sz="0" w:space="0" w:color="auto"/>
            <w:left w:val="none" w:sz="0" w:space="0" w:color="auto"/>
            <w:bottom w:val="none" w:sz="0" w:space="0" w:color="auto"/>
            <w:right w:val="none" w:sz="0" w:space="0" w:color="auto"/>
          </w:divBdr>
        </w:div>
        <w:div w:id="198007212">
          <w:marLeft w:val="547"/>
          <w:marRight w:val="0"/>
          <w:marTop w:val="0"/>
          <w:marBottom w:val="200"/>
          <w:divBdr>
            <w:top w:val="none" w:sz="0" w:space="0" w:color="auto"/>
            <w:left w:val="none" w:sz="0" w:space="0" w:color="auto"/>
            <w:bottom w:val="none" w:sz="0" w:space="0" w:color="auto"/>
            <w:right w:val="none" w:sz="0" w:space="0" w:color="auto"/>
          </w:divBdr>
        </w:div>
      </w:divsChild>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23748294">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64644994">
      <w:bodyDiv w:val="1"/>
      <w:marLeft w:val="0"/>
      <w:marRight w:val="0"/>
      <w:marTop w:val="0"/>
      <w:marBottom w:val="0"/>
      <w:divBdr>
        <w:top w:val="none" w:sz="0" w:space="0" w:color="auto"/>
        <w:left w:val="none" w:sz="0" w:space="0" w:color="auto"/>
        <w:bottom w:val="none" w:sz="0" w:space="0" w:color="auto"/>
        <w:right w:val="none" w:sz="0" w:space="0" w:color="auto"/>
      </w:divBdr>
    </w:div>
    <w:div w:id="2031223292">
      <w:bodyDiv w:val="1"/>
      <w:marLeft w:val="0"/>
      <w:marRight w:val="0"/>
      <w:marTop w:val="0"/>
      <w:marBottom w:val="0"/>
      <w:divBdr>
        <w:top w:val="none" w:sz="0" w:space="0" w:color="auto"/>
        <w:left w:val="none" w:sz="0" w:space="0" w:color="auto"/>
        <w:bottom w:val="none" w:sz="0" w:space="0" w:color="auto"/>
        <w:right w:val="none" w:sz="0" w:space="0" w:color="auto"/>
      </w:divBdr>
    </w:div>
    <w:div w:id="20499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dda.icm.edu.pl/yadda/element/bwmeta1.element.ekon-element-0001716043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zp.gov.pl/zamowienia-covid-19/tarcza-antykryzysowa-dla-biznesu-cykl-wideokonferencji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C80F4-E442-4EE2-93AB-4FF30919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3649</Characters>
  <Application>Microsoft Office Word</Application>
  <DocSecurity>0</DocSecurity>
  <Lines>30</Lines>
  <Paragraphs>8</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Anastasios Diamantidis</cp:lastModifiedBy>
  <cp:revision>2</cp:revision>
  <dcterms:created xsi:type="dcterms:W3CDTF">2022-10-05T07:25:00Z</dcterms:created>
  <dcterms:modified xsi:type="dcterms:W3CDTF">2022-10-24T11:24:00Z</dcterms:modified>
  <cp:category/>
</cp:coreProperties>
</file>