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43D034E" w:rsidR="00811697" w:rsidRPr="00D513EA" w:rsidRDefault="00D513EA">
      <w:pPr>
        <w:pStyle w:val="P68B1DB1-Normalny1"/>
        <w:ind w:left="708"/>
        <w:jc w:val="center"/>
        <w:rPr>
          <w:sz w:val="32"/>
          <w:szCs w:val="28"/>
        </w:rPr>
      </w:pPr>
      <w:r w:rsidRPr="00D513EA">
        <w:rPr>
          <w:sz w:val="32"/>
          <w:szCs w:val="28"/>
        </w:rPr>
        <w:t>Ficha de formación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811697" w14:paraId="26C71E5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811697" w:rsidRDefault="00862E1F">
            <w:pPr>
              <w:pStyle w:val="P68B1DB1-Normalny2"/>
              <w:tabs>
                <w:tab w:val="left" w:pos="1157"/>
                <w:tab w:val="center" w:pos="1250"/>
              </w:tabs>
            </w:pPr>
            <w:r>
              <w:t>Título </w:t>
            </w:r>
            <w:r>
              <w:tab/>
            </w:r>
            <w: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7B00DB4" w:rsidR="00811697" w:rsidRDefault="00862E1F">
            <w:pPr>
              <w:pStyle w:val="P68B1DB1-Normalny3"/>
              <w:rPr>
                <w:color w:val="1F3864" w:themeColor="accent1" w:themeShade="80"/>
              </w:rPr>
            </w:pPr>
            <w:r>
              <w:t>Ayudas estatales para cofinanciar el empleo </w:t>
            </w:r>
          </w:p>
        </w:tc>
      </w:tr>
      <w:tr w:rsidR="00811697" w14:paraId="7C3243C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1337CC79" w:rsidR="00811697" w:rsidRDefault="00862E1F">
            <w:pPr>
              <w:pStyle w:val="P68B1DB1-Normalny2"/>
            </w:pPr>
            <w:r>
              <w:t xml:space="preserve">Palabras clave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45361CB7" w:rsidR="00811697" w:rsidRDefault="00862E1F">
            <w:pPr>
              <w:pStyle w:val="P68B1DB1-Normalny4"/>
            </w:pPr>
            <w:r>
              <w:t>Ayudas estatales, Escudos de lucha contra la crisis, Alivios para las MIPYMES</w:t>
            </w:r>
          </w:p>
        </w:tc>
      </w:tr>
      <w:tr w:rsidR="00811697" w14:paraId="1D8142C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811697" w:rsidRDefault="00862E1F">
            <w:pPr>
              <w:pStyle w:val="P68B1DB1-Normalny2"/>
            </w:pPr>
            <w: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020DA9" w:rsidR="00811697" w:rsidRDefault="00D513EA">
            <w:pPr>
              <w:pStyle w:val="P68B1DB1-Normalny4"/>
            </w:pPr>
            <w:r>
              <w:t>Español</w:t>
            </w:r>
          </w:p>
        </w:tc>
      </w:tr>
      <w:tr w:rsidR="00D513EA" w14:paraId="4189EAD0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7A7FF57" w:rsidR="00D513EA" w:rsidRDefault="00D513EA" w:rsidP="00D513EA">
            <w:pPr>
              <w:pStyle w:val="P68B1DB1-Normalny2"/>
            </w:pPr>
            <w:r>
              <w:t>Objetivos/Metas/</w:t>
            </w:r>
            <w:r>
              <w:br/>
              <w:t>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D408" w14:textId="2287596E" w:rsidR="00D513EA" w:rsidRDefault="00D513EA" w:rsidP="00D513EA">
            <w:pPr>
              <w:pStyle w:val="P68B1DB1-Akapitzlist5"/>
              <w:numPr>
                <w:ilvl w:val="0"/>
                <w:numId w:val="2"/>
              </w:numPr>
            </w:pPr>
            <w:r>
              <w:t>Proporcionar conocimientos sobre los mecanismos gubernamentales de apoyo a las crisis, ayudas estatales, lugares de trabajo subvencionados y socorros para las microempresas y pequeñas y medianas empresas</w:t>
            </w:r>
          </w:p>
          <w:p w14:paraId="3E73A6CC" w14:textId="7C933898" w:rsidR="00D513EA" w:rsidRDefault="00D513EA" w:rsidP="00D513EA">
            <w:pPr>
              <w:pStyle w:val="P68B1DB1-Akapitzlist5"/>
              <w:numPr>
                <w:ilvl w:val="0"/>
                <w:numId w:val="2"/>
              </w:numPr>
            </w:pPr>
            <w:r>
              <w:t>Enseñar a usar instrumentos anticrisis</w:t>
            </w:r>
          </w:p>
          <w:p w14:paraId="75D2A86A" w14:textId="292E5A96" w:rsidR="00D513EA" w:rsidRDefault="00D513EA" w:rsidP="00D513EA">
            <w:pPr>
              <w:pStyle w:val="P68B1DB1-Akapitzlist5"/>
              <w:numPr>
                <w:ilvl w:val="0"/>
                <w:numId w:val="2"/>
              </w:numPr>
            </w:pPr>
            <w:r>
              <w:t xml:space="preserve">Escudos contra la crisis </w:t>
            </w:r>
          </w:p>
          <w:p w14:paraId="3E0ADB40" w14:textId="4118E7D6" w:rsidR="00D513EA" w:rsidRDefault="00D513EA" w:rsidP="00D513EA">
            <w:pPr>
              <w:pStyle w:val="P68B1DB1-Akapitzlist5"/>
              <w:numPr>
                <w:ilvl w:val="0"/>
                <w:numId w:val="2"/>
              </w:numPr>
            </w:pPr>
            <w:r>
              <w:t>Obtenga más información sobre estrategias probadas para apoyar a las empresas en crisis</w:t>
            </w:r>
          </w:p>
        </w:tc>
      </w:tr>
      <w:tr w:rsidR="00811697" w14:paraId="5EBD9948" w14:textId="77777777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811697" w:rsidRDefault="00862E1F">
            <w:pPr>
              <w:pStyle w:val="P68B1DB1-Normalny2"/>
              <w:rPr>
                <w:color w:val="1F3864" w:themeColor="accent1" w:themeShade="80"/>
              </w:rPr>
            </w:pPr>
            <w:r>
              <w:t>Área de entrenamiento: (Seleccione uno)  </w:t>
            </w:r>
          </w:p>
        </w:tc>
      </w:tr>
      <w:tr w:rsidR="006C0805" w:rsidRPr="00D513EA" w14:paraId="6A40FB26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409F1F9A" w:rsidR="006C0805" w:rsidRPr="00D513EA" w:rsidRDefault="006C0805" w:rsidP="006C0805">
            <w:pPr>
              <w:pStyle w:val="P68B1DB1-Normalny6"/>
              <w:rPr>
                <w:lang w:val="es-ES"/>
              </w:rPr>
            </w:pPr>
            <w:r w:rsidRPr="005C508D">
              <w:rPr>
                <w:bCs/>
                <w:lang w:val="en-US" w:eastAsia="en-GB"/>
              </w:rPr>
              <w:t>Online / Marketing</w:t>
            </w:r>
            <w:r>
              <w:rPr>
                <w:bCs/>
                <w:lang w:val="en-US" w:eastAsia="en-GB"/>
              </w:rPr>
              <w:t xml:space="preserve"> Digital</w:t>
            </w:r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>
              <w:rPr>
                <w:bCs/>
                <w:lang w:val="en-US" w:eastAsia="en-GB"/>
              </w:rPr>
              <w:t>Ciberseguridad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C0805" w:rsidRPr="00D513EA" w:rsidRDefault="006C0805" w:rsidP="006C080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s-ES"/>
              </w:rPr>
            </w:pPr>
          </w:p>
        </w:tc>
      </w:tr>
      <w:tr w:rsidR="006C0805" w14:paraId="51EB1597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21C5BCE3" w:rsidR="006C0805" w:rsidRDefault="006C0805" w:rsidP="006C0805">
            <w:pPr>
              <w:pStyle w:val="P68B1DB1-Normalny6"/>
            </w:pPr>
            <w:r w:rsidRPr="005C508D">
              <w:rPr>
                <w:bCs/>
                <w:lang w:val="en-US" w:eastAsia="en-GB"/>
              </w:rPr>
              <w:t xml:space="preserve">E-Commerce / </w:t>
            </w:r>
            <w:proofErr w:type="spellStart"/>
            <w:r w:rsidRPr="005C508D">
              <w:rPr>
                <w:bCs/>
                <w:lang w:val="en-US" w:eastAsia="en-GB"/>
              </w:rPr>
              <w:t>Finan</w:t>
            </w:r>
            <w:r>
              <w:rPr>
                <w:bCs/>
                <w:lang w:val="en-US" w:eastAsia="en-GB"/>
              </w:rPr>
              <w:t>ciación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1B9FA702" w:rsidR="006C0805" w:rsidRDefault="006C0805" w:rsidP="006C0805">
            <w:pPr>
              <w:pStyle w:val="P68B1DB1-Normalny2"/>
            </w:pPr>
            <w:r>
              <w:t>x</w:t>
            </w:r>
          </w:p>
        </w:tc>
      </w:tr>
      <w:tr w:rsidR="006C0805" w14:paraId="1597E55E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30B5EB53" w:rsidR="006C0805" w:rsidRDefault="006C0805" w:rsidP="006C0805">
            <w:pPr>
              <w:pStyle w:val="P68B1DB1-Normalny6"/>
            </w:pPr>
            <w:proofErr w:type="spellStart"/>
            <w:r>
              <w:rPr>
                <w:bCs/>
                <w:lang w:val="en-US" w:eastAsia="en-GB"/>
              </w:rPr>
              <w:t>Bienestar</w:t>
            </w:r>
            <w:proofErr w:type="spellEnd"/>
            <w:r>
              <w:rPr>
                <w:bCs/>
                <w:lang w:val="en-US" w:eastAsia="en-GB"/>
              </w:rPr>
              <w:t xml:space="preserve">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C0805" w:rsidRDefault="006C0805" w:rsidP="006C080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6C0805" w14:paraId="60C30E45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1481C17C" w:rsidR="006C0805" w:rsidRDefault="006C0805" w:rsidP="006C0805">
            <w:pPr>
              <w:pStyle w:val="P68B1DB1-Normalny6"/>
            </w:pPr>
            <w:proofErr w:type="spellStart"/>
            <w:r>
              <w:rPr>
                <w:bCs/>
                <w:lang w:val="en-US" w:eastAsia="en-GB"/>
              </w:rPr>
              <w:t>Teletrabajo</w:t>
            </w:r>
            <w:proofErr w:type="spellEnd"/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 w:rsidRPr="005C508D">
              <w:rPr>
                <w:bCs/>
                <w:lang w:val="en-US" w:eastAsia="en-GB"/>
              </w:rPr>
              <w:t>N</w:t>
            </w:r>
            <w:r>
              <w:rPr>
                <w:bCs/>
                <w:lang w:val="en-US" w:eastAsia="en-GB"/>
              </w:rPr>
              <w:t>ó</w:t>
            </w:r>
            <w:r w:rsidRPr="005C508D">
              <w:rPr>
                <w:bCs/>
                <w:lang w:val="en-US" w:eastAsia="en-GB"/>
              </w:rPr>
              <w:t>mad</w:t>
            </w:r>
            <w:r>
              <w:rPr>
                <w:bCs/>
                <w:lang w:val="en-US" w:eastAsia="en-GB"/>
              </w:rPr>
              <w:t>a</w:t>
            </w:r>
            <w:r w:rsidRPr="005C508D">
              <w:rPr>
                <w:bCs/>
                <w:lang w:val="en-US" w:eastAsia="en-GB"/>
              </w:rPr>
              <w:t>s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digitales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C0805" w:rsidRDefault="006C0805" w:rsidP="006C080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811697" w14:paraId="1F1E48C0" w14:textId="77777777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811697" w:rsidRDefault="00862E1F">
            <w:pPr>
              <w:pStyle w:val="P68B1DB1-Normalny2"/>
            </w:pPr>
            <w: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2FA5B609" w:rsidR="00811697" w:rsidRDefault="00D513EA">
            <w:pPr>
              <w:pStyle w:val="P68B1DB1-Akapitzlist7"/>
              <w:spacing w:after="0" w:line="240" w:lineRule="auto"/>
              <w:ind w:left="360"/>
              <w:textAlignment w:val="baseline"/>
            </w:pPr>
            <w:r>
              <w:t>Los legisladores polacos</w:t>
            </w:r>
            <w:r w:rsidR="00862E1F">
              <w:t xml:space="preserve"> introduj</w:t>
            </w:r>
            <w:r>
              <w:t>eron</w:t>
            </w:r>
            <w:r w:rsidR="00862E1F">
              <w:t xml:space="preserve"> instrumentos especiales de apoyo en relación con la propagación del virus SARS-CoV2. Los cuatro primeros escudos anticrisis se dirigieron a todos los empleadores, los siguientes escudos anticrisis se dirigieron a los empleadores de la mayoría de los sectores vulnerables, especialmente el sector turístico, las instituciones culturales, la gastronomía, etc. También había algunos instrumentos especiales más simples para las </w:t>
            </w:r>
            <w:proofErr w:type="spellStart"/>
            <w:r w:rsidR="00242900">
              <w:t>mipymes</w:t>
            </w:r>
            <w:proofErr w:type="spellEnd"/>
            <w:r w:rsidR="00862E1F">
              <w:t>.</w:t>
            </w:r>
          </w:p>
        </w:tc>
      </w:tr>
      <w:tr w:rsidR="00D513EA" w14:paraId="008CA90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2BBA80CC" w:rsidR="00D513EA" w:rsidRDefault="00D513EA" w:rsidP="00D513EA">
            <w:pPr>
              <w:pStyle w:val="P68B1DB1-Normalny2"/>
            </w:pPr>
            <w:r w:rsidRPr="00555818">
              <w:t>Contenidos organizados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45CE" w14:textId="77777777" w:rsidR="00D513EA" w:rsidRDefault="00D513EA" w:rsidP="00D513EA">
            <w:pPr>
              <w:pStyle w:val="P68B1DB1-Akapitzlist7"/>
              <w:numPr>
                <w:ilvl w:val="0"/>
                <w:numId w:val="1"/>
              </w:numPr>
              <w:spacing w:after="0" w:line="240" w:lineRule="auto"/>
              <w:textAlignment w:val="baseline"/>
            </w:pPr>
            <w:r>
              <w:t xml:space="preserve">Nombre del módulo:  </w:t>
            </w:r>
          </w:p>
          <w:p w14:paraId="743062E7" w14:textId="0954CDA7" w:rsidR="00D513EA" w:rsidRDefault="00D513EA" w:rsidP="00D513EA">
            <w:pPr>
              <w:pStyle w:val="P68B1DB1-Akapitzlist7"/>
              <w:numPr>
                <w:ilvl w:val="1"/>
                <w:numId w:val="4"/>
              </w:numPr>
              <w:spacing w:after="0" w:line="240" w:lineRule="auto"/>
              <w:textAlignment w:val="baseline"/>
            </w:pPr>
            <w:r>
              <w:t>Ayudas estatales para cofinanciar el empleo </w:t>
            </w:r>
          </w:p>
          <w:p w14:paraId="7F4F2D07" w14:textId="77777777" w:rsidR="00D513EA" w:rsidRDefault="00D513EA" w:rsidP="00D513EA">
            <w:pPr>
              <w:pStyle w:val="P68B1DB1-Normalny8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Mecanismos de ayuda estatal  </w:t>
            </w:r>
          </w:p>
          <w:p w14:paraId="1B7F6227" w14:textId="7A6E4B15" w:rsidR="00D513EA" w:rsidRDefault="00D513EA" w:rsidP="00D513EA">
            <w:pPr>
              <w:pStyle w:val="P68B1DB1-Normalny8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Escudos anticrisis </w:t>
            </w:r>
          </w:p>
          <w:p w14:paraId="00E52858" w14:textId="77777777" w:rsidR="00D513EA" w:rsidRDefault="00D513EA" w:rsidP="00D513EA">
            <w:pPr>
              <w:pStyle w:val="P68B1DB1-Normalny8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Lugares de trabajo subvencionados </w:t>
            </w:r>
          </w:p>
          <w:p w14:paraId="3D706F15" w14:textId="53537E7E" w:rsidR="00D513EA" w:rsidRDefault="00D513EA" w:rsidP="00D513EA">
            <w:pPr>
              <w:pStyle w:val="P68B1DB1-Normalny8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Alivio para las </w:t>
            </w:r>
            <w:proofErr w:type="spellStart"/>
            <w:r w:rsidR="00242900">
              <w:t>mipymes</w:t>
            </w:r>
            <w:proofErr w:type="spellEnd"/>
            <w:r>
              <w:t> </w:t>
            </w:r>
          </w:p>
          <w:p w14:paraId="0914DDC6" w14:textId="77777777" w:rsidR="00D513EA" w:rsidRDefault="00D513EA" w:rsidP="00D513EA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11697" w14:paraId="70DEC983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811697" w:rsidRDefault="00862E1F">
            <w:pPr>
              <w:pStyle w:val="P68B1DB1-Normalny9"/>
              <w:rPr>
                <w:rFonts w:eastAsia="Times New Roman"/>
              </w:rPr>
            </w:pPr>
            <w:r>
              <w:lastRenderedPageBreak/>
              <w:t>Autoevaluación (consultas de elección múltiples y respuestas)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811697" w:rsidRDefault="0081169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</w:rPr>
            </w:pPr>
          </w:p>
          <w:p w14:paraId="38710D4D" w14:textId="77777777" w:rsidR="00C11DE7" w:rsidRDefault="00242900" w:rsidP="00C11DE7">
            <w:pPr>
              <w:pStyle w:val="P68B1DB1-Normalny3"/>
              <w:spacing w:after="0" w:line="240" w:lineRule="auto"/>
              <w:textAlignment w:val="baseline"/>
            </w:pPr>
            <w:r>
              <w:t xml:space="preserve">1. </w:t>
            </w:r>
            <w:r w:rsidRPr="00242900">
              <w:t>Los escudos anticrisis estaban disponibles para empresas de</w:t>
            </w:r>
            <w:r>
              <w:t xml:space="preserve"> </w:t>
            </w:r>
            <w:r w:rsidRPr="00242900">
              <w:t>tamaño:</w:t>
            </w:r>
          </w:p>
          <w:p w14:paraId="78E2F601" w14:textId="77777777" w:rsidR="00C11DE7" w:rsidRDefault="00C11DE7" w:rsidP="00C11DE7">
            <w:pPr>
              <w:pStyle w:val="P68B1DB1-Normalny3"/>
              <w:spacing w:after="0" w:line="240" w:lineRule="auto"/>
              <w:textAlignment w:val="baseline"/>
              <w:rPr>
                <w:b w:val="0"/>
                <w:bCs/>
              </w:rPr>
            </w:pPr>
            <w:r>
              <w:t xml:space="preserve">        </w:t>
            </w:r>
            <w:r w:rsidR="00242900" w:rsidRPr="00242900">
              <w:rPr>
                <w:b w:val="0"/>
                <w:bCs/>
              </w:rPr>
              <w:t>a.- medio y grande</w:t>
            </w:r>
          </w:p>
          <w:p w14:paraId="65BD8CD9" w14:textId="77777777" w:rsidR="00C11DE7" w:rsidRDefault="00C11DE7" w:rsidP="00C11DE7">
            <w:pPr>
              <w:pStyle w:val="P68B1DB1-Normalny3"/>
              <w:spacing w:after="0" w:line="240" w:lineRule="auto"/>
              <w:textAlignment w:val="baseline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</w:t>
            </w:r>
            <w:r w:rsidR="00242900" w:rsidRPr="00242900">
              <w:rPr>
                <w:b w:val="0"/>
                <w:bCs/>
              </w:rPr>
              <w:t>b.- micro y pequeño</w:t>
            </w:r>
          </w:p>
          <w:p w14:paraId="40EB5C59" w14:textId="6766AA3D" w:rsidR="00242900" w:rsidRDefault="00C11DE7" w:rsidP="00C11DE7">
            <w:pPr>
              <w:pStyle w:val="P68B1DB1-Normalny3"/>
              <w:spacing w:after="0" w:line="240" w:lineRule="auto"/>
              <w:textAlignment w:val="baseline"/>
            </w:pPr>
            <w:r>
              <w:rPr>
                <w:b w:val="0"/>
                <w:bCs/>
              </w:rPr>
              <w:t xml:space="preserve">        </w:t>
            </w:r>
            <w:r w:rsidR="00242900" w:rsidRPr="00242900">
              <w:t>c.- todos los emprendedores</w:t>
            </w:r>
          </w:p>
          <w:p w14:paraId="1FF351E3" w14:textId="77777777" w:rsidR="00242900" w:rsidRPr="00242900" w:rsidRDefault="00242900" w:rsidP="00242900">
            <w:pPr>
              <w:pStyle w:val="P68B1DB1-Normalny3"/>
              <w:spacing w:after="0" w:line="240" w:lineRule="auto"/>
              <w:ind w:left="708"/>
              <w:textAlignment w:val="baseline"/>
            </w:pPr>
          </w:p>
          <w:p w14:paraId="3C1DE662" w14:textId="77777777" w:rsidR="00C11DE7" w:rsidRPr="00C11DE7" w:rsidRDefault="00242900" w:rsidP="00C11DE7">
            <w:pPr>
              <w:pStyle w:val="P68B1DB1-Akapitzlist7"/>
              <w:numPr>
                <w:ilvl w:val="0"/>
                <w:numId w:val="4"/>
              </w:numPr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Como parte de la ayuda estatal, fue posible solicitar:</w:t>
            </w:r>
          </w:p>
          <w:p w14:paraId="10408D3A" w14:textId="254DFE34" w:rsidR="00242900" w:rsidRPr="00242900" w:rsidRDefault="00242900" w:rsidP="00C11DE7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a.- beneficios para la protección de los lugares de trabajo</w:t>
            </w:r>
          </w:p>
          <w:p w14:paraId="1776966E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 xml:space="preserve">b.- el pago de subvenciones del Fondo de Beneficios al Empleado Garantizado </w:t>
            </w:r>
          </w:p>
          <w:p w14:paraId="3B75C1D1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c.- Todos ellos</w:t>
            </w:r>
          </w:p>
          <w:p w14:paraId="271256CB" w14:textId="77777777" w:rsidR="00242900" w:rsidRPr="00242900" w:rsidRDefault="00242900" w:rsidP="00242900">
            <w:pPr>
              <w:pStyle w:val="P68B1DB1-Akapitzlist7"/>
              <w:spacing w:after="0" w:line="240" w:lineRule="auto"/>
              <w:ind w:left="360"/>
              <w:textAlignment w:val="baseline"/>
            </w:pPr>
          </w:p>
          <w:p w14:paraId="75156063" w14:textId="0D805EEF" w:rsidR="00242900" w:rsidRPr="00242900" w:rsidRDefault="00242900" w:rsidP="00242900">
            <w:pPr>
              <w:pStyle w:val="P68B1DB1-Akapitzlist7"/>
              <w:numPr>
                <w:ilvl w:val="0"/>
                <w:numId w:val="4"/>
              </w:numPr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 xml:space="preserve"> El importe de la financiación de la remuneración dependía de:</w:t>
            </w:r>
          </w:p>
          <w:p w14:paraId="501F9FEA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a.- el importe de la disminución del volumen de negocios económico</w:t>
            </w:r>
          </w:p>
          <w:p w14:paraId="6846A7DA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b.- la cantidad de trabajadores infectados</w:t>
            </w:r>
          </w:p>
          <w:p w14:paraId="79A239D9" w14:textId="1B817046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c.- el importe de los despidos debidos a la crisis</w:t>
            </w:r>
          </w:p>
          <w:p w14:paraId="4FBCFB22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</w:p>
          <w:p w14:paraId="4FCA22B5" w14:textId="69B80469" w:rsidR="00242900" w:rsidRPr="00242900" w:rsidRDefault="00242900" w:rsidP="00242900">
            <w:pPr>
              <w:pStyle w:val="P68B1DB1-Akapitzlist7"/>
              <w:numPr>
                <w:ilvl w:val="0"/>
                <w:numId w:val="4"/>
              </w:numPr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 xml:space="preserve">Las medidas clave para apoyar la liquidez de las </w:t>
            </w:r>
            <w:proofErr w:type="spellStart"/>
            <w:r w:rsidRPr="00242900">
              <w:rPr>
                <w:bCs/>
                <w:lang w:val="es-ES"/>
              </w:rPr>
              <w:t>mipymes</w:t>
            </w:r>
            <w:proofErr w:type="spellEnd"/>
            <w:r w:rsidRPr="00242900">
              <w:rPr>
                <w:bCs/>
                <w:lang w:val="es-ES"/>
              </w:rPr>
              <w:t xml:space="preserve"> incluyen:</w:t>
            </w:r>
          </w:p>
          <w:p w14:paraId="18A26AE6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a.- facilitar los procedimientos de quiebra</w:t>
            </w:r>
          </w:p>
          <w:p w14:paraId="29EBB7AC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b.- Exenciones de seguridad social, subsidios salariales o sistemas de garantía</w:t>
            </w:r>
          </w:p>
          <w:p w14:paraId="52F20B37" w14:textId="4890CDBF" w:rsid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c.- reducción de impuestos</w:t>
            </w:r>
          </w:p>
          <w:p w14:paraId="7631FD2A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</w:p>
          <w:p w14:paraId="5651F37E" w14:textId="778FC4B4" w:rsidR="00242900" w:rsidRPr="00242900" w:rsidRDefault="00242900" w:rsidP="00242900">
            <w:pPr>
              <w:pStyle w:val="P68B1DB1-Akapitzlist7"/>
              <w:numPr>
                <w:ilvl w:val="0"/>
                <w:numId w:val="4"/>
              </w:numPr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Otra solución prevista por el acto anticrisis</w:t>
            </w:r>
          </w:p>
          <w:p w14:paraId="20F6FEB8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a.- introducción de restricciones a las horas de trabajo flexibles</w:t>
            </w:r>
          </w:p>
          <w:p w14:paraId="3E96996F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b w:val="0"/>
                <w:bCs/>
                <w:lang w:val="es-ES"/>
              </w:rPr>
            </w:pPr>
            <w:r w:rsidRPr="00242900">
              <w:rPr>
                <w:b w:val="0"/>
                <w:bCs/>
                <w:lang w:val="es-ES"/>
              </w:rPr>
              <w:t>b.- evitar que los empleados tomen sus hojas</w:t>
            </w:r>
          </w:p>
          <w:p w14:paraId="328900D4" w14:textId="77777777" w:rsidR="00242900" w:rsidRPr="00242900" w:rsidRDefault="00242900" w:rsidP="00242900">
            <w:pPr>
              <w:pStyle w:val="P68B1DB1-Akapitzlist7"/>
              <w:ind w:left="360"/>
              <w:textAlignment w:val="baseline"/>
              <w:rPr>
                <w:lang w:val="es-ES"/>
              </w:rPr>
            </w:pPr>
            <w:r w:rsidRPr="00242900">
              <w:rPr>
                <w:bCs/>
                <w:lang w:val="es-ES"/>
              </w:rPr>
              <w:t>c.-conceder a los empleadores la opción de enviar a los empleados en vacaciones vencidas</w:t>
            </w:r>
          </w:p>
          <w:p w14:paraId="41A84EAB" w14:textId="77777777" w:rsidR="00811697" w:rsidRPr="00242900" w:rsidRDefault="0081169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s-ES"/>
              </w:rPr>
            </w:pPr>
          </w:p>
        </w:tc>
      </w:tr>
      <w:tr w:rsidR="00811697" w14:paraId="4F681D87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811697" w:rsidRDefault="00862E1F">
            <w:pPr>
              <w:pStyle w:val="P68B1DB1-Normalny2"/>
            </w:pPr>
            <w:r>
              <w:t>Recursos (vídeos, enlace de referencia)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811697" w:rsidRDefault="008116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811697" w14:paraId="0D56C854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811697" w:rsidRDefault="00862E1F">
            <w:pPr>
              <w:pStyle w:val="P68B1DB1-Normalny2"/>
            </w:pPr>
            <w:r>
              <w:t>Material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811697" w:rsidRDefault="008116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811697" w:rsidRPr="00D513EA" w14:paraId="105B4545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811697" w:rsidRDefault="00862E1F">
            <w:pPr>
              <w:pStyle w:val="P68B1DB1-Normalny2"/>
            </w:pPr>
            <w:r>
              <w:t>PPT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689DC996" w:rsidR="00811697" w:rsidRPr="00D513EA" w:rsidRDefault="00811697">
            <w:pPr>
              <w:pStyle w:val="P68B1DB1-Normalny4"/>
              <w:rPr>
                <w:color w:val="1F3864" w:themeColor="accent1" w:themeShade="80"/>
                <w:lang w:val="en-GB"/>
              </w:rPr>
            </w:pPr>
          </w:p>
        </w:tc>
      </w:tr>
      <w:tr w:rsidR="00811697" w:rsidRPr="008A0754" w14:paraId="4050EC86" w14:textId="77777777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811697" w:rsidRDefault="00862E1F">
            <w:pPr>
              <w:pStyle w:val="P68B1DB1-Normalny2"/>
            </w:pPr>
            <w:r>
              <w:lastRenderedPageBreak/>
              <w:t>Bibliografía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8932" w14:textId="77777777" w:rsidR="00811697" w:rsidRDefault="00862E1F">
            <w:pPr>
              <w:pStyle w:val="P68B1DB1-Normalny4"/>
            </w:pPr>
            <w:r>
              <w:t>Coronavirus (COVID-19): Respuestas a las políticas de las PYME, OCDE, actualizada el 15 de julio de 2020</w:t>
            </w:r>
          </w:p>
          <w:p w14:paraId="2E845D1C" w14:textId="03F988C6" w:rsidR="00811697" w:rsidRDefault="00862E1F">
            <w:pPr>
              <w:pStyle w:val="P68B1DB1-Normalny4"/>
            </w:pPr>
            <w:r>
              <w:t>Perspectivas de las PYME y el emprendimiento de la OCDE 2021</w:t>
            </w:r>
          </w:p>
          <w:p w14:paraId="566F28EC" w14:textId="77777777" w:rsidR="00811697" w:rsidRDefault="00862E1F">
            <w:pPr>
              <w:pStyle w:val="P68B1DB1-Normalny4"/>
            </w:pPr>
            <w:r>
              <w:t xml:space="preserve"> </w:t>
            </w:r>
            <w:proofErr w:type="spellStart"/>
            <w:r>
              <w:t>Dębkowska</w:t>
            </w:r>
            <w:proofErr w:type="spellEnd"/>
            <w:r>
              <w:t xml:space="preserve">, K., </w:t>
            </w:r>
            <w:proofErr w:type="spellStart"/>
            <w:r>
              <w:t>Kłosiewicz-Górecka</w:t>
            </w:r>
            <w:proofErr w:type="spellEnd"/>
            <w:r>
              <w:t xml:space="preserve">, U., </w:t>
            </w:r>
            <w:proofErr w:type="spellStart"/>
            <w:r>
              <w:t>Szymańska</w:t>
            </w:r>
            <w:proofErr w:type="spellEnd"/>
            <w:r>
              <w:t xml:space="preserve">, A., </w:t>
            </w:r>
            <w:proofErr w:type="spellStart"/>
            <w:r>
              <w:t>Ważniewski</w:t>
            </w:r>
            <w:proofErr w:type="spellEnd"/>
            <w:r>
              <w:t xml:space="preserve">, P., </w:t>
            </w:r>
            <w:proofErr w:type="spellStart"/>
            <w:r>
              <w:t>Zybertowicz</w:t>
            </w:r>
            <w:proofErr w:type="spellEnd"/>
            <w:r>
              <w:t xml:space="preserve">, K. (2021), </w:t>
            </w:r>
            <w:proofErr w:type="spellStart"/>
            <w:r>
              <w:t>Tarcza</w:t>
            </w:r>
            <w:proofErr w:type="spellEnd"/>
            <w:r>
              <w:t xml:space="preserve"> </w:t>
            </w:r>
            <w:proofErr w:type="spellStart"/>
            <w:r>
              <w:t>Antykryzysowa</w:t>
            </w:r>
            <w:proofErr w:type="spellEnd"/>
            <w:r>
              <w:t xml:space="preserve">... </w:t>
            </w: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ratunkowe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gospodarki?Gniazdowski</w:t>
            </w:r>
            <w:proofErr w:type="spellEnd"/>
            <w:proofErr w:type="gramEnd"/>
            <w:r>
              <w:t xml:space="preserve">, M., </w:t>
            </w:r>
            <w:proofErr w:type="spellStart"/>
            <w:r>
              <w:t>Kubisiak</w:t>
            </w:r>
            <w:proofErr w:type="spellEnd"/>
            <w:r>
              <w:t xml:space="preserve">, A., </w:t>
            </w:r>
            <w:proofErr w:type="spellStart"/>
            <w:r>
              <w:t>Kutwa</w:t>
            </w:r>
            <w:proofErr w:type="spellEnd"/>
            <w:r>
              <w:t xml:space="preserve">, K., </w:t>
            </w:r>
            <w:proofErr w:type="spellStart"/>
            <w:r>
              <w:t>Rybacki</w:t>
            </w:r>
            <w:proofErr w:type="spellEnd"/>
            <w:r>
              <w:t>, J. (</w:t>
            </w:r>
            <w:proofErr w:type="spellStart"/>
            <w:r>
              <w:t>współpr</w:t>
            </w:r>
            <w:proofErr w:type="spellEnd"/>
            <w:r>
              <w:t xml:space="preserve">.), </w:t>
            </w:r>
            <w:proofErr w:type="spellStart"/>
            <w:r>
              <w:t>Polski</w:t>
            </w:r>
            <w:proofErr w:type="spellEnd"/>
            <w:r>
              <w:t xml:space="preserve"> </w:t>
            </w:r>
            <w:proofErr w:type="spellStart"/>
            <w:r>
              <w:t>Instytut</w:t>
            </w:r>
            <w:proofErr w:type="spellEnd"/>
            <w:r>
              <w:t xml:space="preserve"> </w:t>
            </w:r>
            <w:proofErr w:type="spellStart"/>
            <w:r>
              <w:t>Ekonomiczny</w:t>
            </w:r>
            <w:proofErr w:type="spellEnd"/>
            <w:r>
              <w:t xml:space="preserve">, </w:t>
            </w:r>
            <w:proofErr w:type="spellStart"/>
            <w:r>
              <w:t>Warszawa</w:t>
            </w:r>
            <w:proofErr w:type="spellEnd"/>
          </w:p>
          <w:p w14:paraId="1AAA28A3" w14:textId="77777777" w:rsidR="00811697" w:rsidRDefault="00862E1F">
            <w:pPr>
              <w:pStyle w:val="P68B1DB1-Normalny4"/>
            </w:pPr>
            <w:proofErr w:type="spellStart"/>
            <w:r>
              <w:t>Buendia</w:t>
            </w:r>
            <w:proofErr w:type="spellEnd"/>
            <w:r>
              <w:t xml:space="preserve">, J.L. i </w:t>
            </w:r>
            <w:proofErr w:type="spellStart"/>
            <w:r>
              <w:t>Dovalo</w:t>
            </w:r>
            <w:proofErr w:type="spellEnd"/>
            <w:r>
              <w:t>, A. (2020). Ayudas estatales contra COVID-19. La Comisión adopta un marco temporal. Ley Europea de Ayudas Estatales Trimestral, 19, apartado 1.</w:t>
            </w:r>
          </w:p>
          <w:p w14:paraId="13423A37" w14:textId="24E70EDD" w:rsidR="00811697" w:rsidRPr="00D513EA" w:rsidRDefault="00862E1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Nicolaides</w:t>
            </w:r>
            <w:proofErr w:type="spellEnd"/>
            <w:r>
              <w:rPr>
                <w:rFonts w:asciiTheme="minorHAnsi" w:hAnsiTheme="minorHAnsi" w:cstheme="minorHAnsi"/>
              </w:rPr>
              <w:t xml:space="preserve">, P. (2020.a). Aplicación del artículo 107, apartado 2, letra b), del TFUE a las medidas relativas a la COVID-19: Ayuda estatal para reparar el daño causado por una ocurrencia excepcional. </w:t>
            </w:r>
            <w:r w:rsidRPr="00D513EA">
              <w:rPr>
                <w:rFonts w:asciiTheme="minorHAnsi" w:hAnsiTheme="minorHAnsi" w:cstheme="minorHAnsi"/>
                <w:lang w:val="en-GB"/>
              </w:rPr>
              <w:t xml:space="preserve">Journal of European Competition Law &amp; Practise, 11(5–6). </w:t>
            </w:r>
            <w:hyperlink r:id="rId7" w:history="1">
              <w:r w:rsidRPr="00D513EA">
                <w:rPr>
                  <w:rStyle w:val="Hipervnculo"/>
                  <w:rFonts w:asciiTheme="minorHAnsi" w:hAnsiTheme="minorHAnsi" w:cstheme="minorHAnsi"/>
                  <w:lang w:val="en-GB"/>
                </w:rPr>
                <w:t>http://doi.org/10.1093/jeclap/lpaa026</w:t>
              </w:r>
            </w:hyperlink>
          </w:p>
          <w:p w14:paraId="3D9C876B" w14:textId="77777777" w:rsidR="00811697" w:rsidRPr="00D513EA" w:rsidRDefault="00862E1F">
            <w:pPr>
              <w:pStyle w:val="P68B1DB1-Normalny4"/>
              <w:rPr>
                <w:lang w:val="en-GB"/>
              </w:rPr>
            </w:pPr>
            <w:r w:rsidRPr="00D513EA">
              <w:rPr>
                <w:lang w:val="en-GB"/>
              </w:rPr>
              <w:t>http://doi.org/10.1093/jeclap/lpaa026.</w:t>
            </w:r>
          </w:p>
          <w:p w14:paraId="3903DD9A" w14:textId="77777777" w:rsidR="00811697" w:rsidRPr="00D513EA" w:rsidRDefault="00862E1F">
            <w:pPr>
              <w:pStyle w:val="P68B1DB1-Normalny4"/>
              <w:rPr>
                <w:lang w:val="en-GB"/>
              </w:rPr>
            </w:pPr>
            <w:r w:rsidRPr="00D513EA">
              <w:rPr>
                <w:lang w:val="en-GB"/>
              </w:rPr>
              <w:t>https://www.bgk.pl/files/public/Pliki/Analizy_ekonomiczne/raport_BGK_narzedzia_pomocowe_COVID_styczen2021.pdf.</w:t>
            </w:r>
          </w:p>
          <w:p w14:paraId="15D24FED" w14:textId="64592C98" w:rsidR="00811697" w:rsidRPr="00D513EA" w:rsidRDefault="00862E1F">
            <w:pPr>
              <w:pStyle w:val="P68B1DB1-Normalny4"/>
              <w:rPr>
                <w:color w:val="1F3864" w:themeColor="accent1" w:themeShade="80"/>
                <w:lang w:val="en-GB"/>
              </w:rPr>
            </w:pPr>
            <w:r w:rsidRPr="00D513EA">
              <w:rPr>
                <w:lang w:val="en-GB"/>
              </w:rPr>
              <w:t>https://ec.europa.eu/competition/state_aid/what_is_new/maritime_transport_overview_sa_rules_during_coronavirus.pdf.</w:t>
            </w:r>
          </w:p>
        </w:tc>
      </w:tr>
      <w:tr w:rsidR="00811697" w14:paraId="5FEDCDD1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811697" w:rsidRDefault="00862E1F">
            <w:pPr>
              <w:pStyle w:val="P68B1DB1-Normalny2"/>
            </w:pPr>
            <w:r>
              <w:t>Proporcionado por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6C4D3B01" w:rsidR="00811697" w:rsidRDefault="00C11DE7">
            <w:pPr>
              <w:pStyle w:val="P68B1DB1-Normalny12"/>
              <w:rPr>
                <w:color w:val="1F3864" w:themeColor="accent1" w:themeShade="80"/>
              </w:rPr>
            </w:pPr>
            <w:r>
              <w:t>Universidad Económica de Cracovia - CUE</w:t>
            </w:r>
          </w:p>
        </w:tc>
      </w:tr>
    </w:tbl>
    <w:p w14:paraId="40FDB52D" w14:textId="77777777" w:rsidR="00811697" w:rsidRDefault="00811697">
      <w:pPr>
        <w:rPr>
          <w:rFonts w:asciiTheme="minorHAnsi" w:hAnsiTheme="minorHAnsi" w:cstheme="minorHAnsi"/>
        </w:rPr>
      </w:pPr>
    </w:p>
    <w:p w14:paraId="4CFF9A88" w14:textId="52E14F29" w:rsidR="00811697" w:rsidRDefault="00811697">
      <w:pPr>
        <w:rPr>
          <w:rFonts w:asciiTheme="minorHAnsi" w:hAnsiTheme="minorHAnsi" w:cstheme="minorHAnsi"/>
        </w:rPr>
      </w:pPr>
    </w:p>
    <w:sectPr w:rsidR="008116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B2A3" w14:textId="77777777" w:rsidR="000F061D" w:rsidRDefault="000F061D">
      <w:pPr>
        <w:spacing w:after="0" w:line="240" w:lineRule="auto"/>
      </w:pPr>
      <w:r>
        <w:separator/>
      </w:r>
    </w:p>
  </w:endnote>
  <w:endnote w:type="continuationSeparator" w:id="0">
    <w:p w14:paraId="16521E9D" w14:textId="77777777" w:rsidR="000F061D" w:rsidRDefault="000F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811697" w:rsidRDefault="00862E1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811697" w:rsidRDefault="00862E1F">
                          <w:pPr>
                            <w:pStyle w:val="P68B1DB1-Normalny15"/>
                          </w:pPr>
                          <w:r>
                            <w:t xml:space="preserve">Con el apoyo del programa Erasmus+ de la Unión Europea. Este documento y su contenido solo reflejan las opiniones de los autores, y la Comisión no se hace responsable del uso que pueda hacerse de la información contenida en el mismo.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811697" w:rsidRDefault="00862E1F">
                    <w:pPr>
                      <w:pStyle w:val="P68B1DB1-Normalny15"/>
                    </w:pPr>
                    <w:r>
                      <w:t xml:space="preserve">Con el apoyo del programa Erasmus+ de la Unión Europea. Este documento y su contenido solo reflejan las opiniones de los autores, y la Comisión no se hace responsable del uso que pueda hacerse de la información contenida en el mismo.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Imagen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A5E70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CAFC" w14:textId="77777777" w:rsidR="000F061D" w:rsidRDefault="000F061D">
      <w:pPr>
        <w:spacing w:after="0" w:line="240" w:lineRule="auto"/>
      </w:pPr>
      <w:r>
        <w:separator/>
      </w:r>
    </w:p>
  </w:footnote>
  <w:footnote w:type="continuationSeparator" w:id="0">
    <w:p w14:paraId="6DFD0957" w14:textId="77777777" w:rsidR="000F061D" w:rsidRDefault="000F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58FA8078" w:rsidR="00811697" w:rsidRPr="00D513EA" w:rsidRDefault="00862E1F">
    <w:pPr>
      <w:pStyle w:val="P68B1DB1-Normalny13"/>
      <w:jc w:val="center"/>
      <w:rPr>
        <w:rFonts w:ascii="Bahnschrift SemiLight" w:hAnsi="Bahnschrift SemiLight"/>
        <w:lang w:val="en-GB"/>
      </w:rPr>
    </w:pPr>
    <w:r>
      <w:rPr>
        <w:rFonts w:ascii="Bahnschrift SemiLight" w:hAnsi="Bahnschrift SemiLight"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3EA" w:rsidRPr="00D513EA">
      <w:rPr>
        <w:lang w:val="en-GB"/>
      </w:rPr>
      <w:t xml:space="preserve"> </w:t>
    </w:r>
    <w:r w:rsidR="00D513EA" w:rsidRPr="00D513EA">
      <w:rPr>
        <w:rFonts w:ascii="Bahnschrift SemiLight" w:hAnsi="Bahnschrift SemiLight"/>
        <w:noProof/>
        <w:lang w:val="en-GB"/>
      </w:rPr>
      <w:t>Enhancing SMEs’ Resilience After Lock-Down</w:t>
    </w:r>
  </w:p>
  <w:p w14:paraId="75A08B86" w14:textId="77777777" w:rsidR="00811697" w:rsidRDefault="00862E1F">
    <w:pPr>
      <w:pStyle w:val="P68B1DB1-Normalny14"/>
      <w:jc w:val="center"/>
    </w:pPr>
    <w:r>
      <w:t>www.esmerald.eu</w:t>
    </w:r>
  </w:p>
  <w:p w14:paraId="635AD7A1" w14:textId="311233AF" w:rsidR="00811697" w:rsidRDefault="00811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66A9F"/>
    <w:multiLevelType w:val="hybridMultilevel"/>
    <w:tmpl w:val="61F0B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84791"/>
    <w:multiLevelType w:val="hybridMultilevel"/>
    <w:tmpl w:val="9BAC8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90687"/>
    <w:multiLevelType w:val="hybridMultilevel"/>
    <w:tmpl w:val="3F10A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207"/>
    <w:multiLevelType w:val="hybridMultilevel"/>
    <w:tmpl w:val="386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B2A"/>
    <w:multiLevelType w:val="multilevel"/>
    <w:tmpl w:val="F7E6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8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1F3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7058E9"/>
    <w:multiLevelType w:val="hybridMultilevel"/>
    <w:tmpl w:val="67F23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E7CDA"/>
    <w:multiLevelType w:val="hybridMultilevel"/>
    <w:tmpl w:val="0C044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82B11"/>
    <w:rsid w:val="000945CE"/>
    <w:rsid w:val="000C31A9"/>
    <w:rsid w:val="000F061D"/>
    <w:rsid w:val="0018030C"/>
    <w:rsid w:val="001960E6"/>
    <w:rsid w:val="00242900"/>
    <w:rsid w:val="002D6257"/>
    <w:rsid w:val="00351973"/>
    <w:rsid w:val="004F25E8"/>
    <w:rsid w:val="00505F0E"/>
    <w:rsid w:val="005C508D"/>
    <w:rsid w:val="005D3D97"/>
    <w:rsid w:val="005F5748"/>
    <w:rsid w:val="006049C6"/>
    <w:rsid w:val="006975E6"/>
    <w:rsid w:val="006C0805"/>
    <w:rsid w:val="006E737F"/>
    <w:rsid w:val="007056E7"/>
    <w:rsid w:val="007119E7"/>
    <w:rsid w:val="0076461E"/>
    <w:rsid w:val="00774CCE"/>
    <w:rsid w:val="00786B5A"/>
    <w:rsid w:val="00795000"/>
    <w:rsid w:val="007B1ABE"/>
    <w:rsid w:val="00811697"/>
    <w:rsid w:val="00862E1F"/>
    <w:rsid w:val="008A0754"/>
    <w:rsid w:val="008C3AEB"/>
    <w:rsid w:val="008E2D90"/>
    <w:rsid w:val="009621A6"/>
    <w:rsid w:val="00975B19"/>
    <w:rsid w:val="009D3E93"/>
    <w:rsid w:val="00A43ECC"/>
    <w:rsid w:val="00B04E25"/>
    <w:rsid w:val="00C11DE7"/>
    <w:rsid w:val="00C17ABD"/>
    <w:rsid w:val="00C37389"/>
    <w:rsid w:val="00C44C3A"/>
    <w:rsid w:val="00C56C9D"/>
    <w:rsid w:val="00D513EA"/>
    <w:rsid w:val="00D87393"/>
    <w:rsid w:val="00E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45CE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Fuentedeprrafopredeter"/>
    <w:rsid w:val="000945CE"/>
  </w:style>
  <w:style w:type="character" w:styleId="Hipervnculo">
    <w:name w:val="Hyperlink"/>
    <w:basedOn w:val="Fuentedeprrafopredeter"/>
    <w:uiPriority w:val="99"/>
    <w:unhideWhenUsed/>
    <w:rsid w:val="007119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9E7"/>
    <w:rPr>
      <w:color w:val="605E5C"/>
      <w:shd w:val="clear" w:color="auto" w:fill="E1DFDD"/>
    </w:rPr>
  </w:style>
  <w:style w:type="paragraph" w:customStyle="1" w:styleId="P68B1DB1-Normalny1">
    <w:name w:val="P68B1DB1-Normalny1"/>
    <w:basedOn w:val="Normal"/>
    <w:rPr>
      <w:rFonts w:asciiTheme="minorHAnsi" w:hAnsiTheme="minorHAnsi" w:cstheme="minorHAnsi"/>
      <w:b/>
      <w:color w:val="0CA373"/>
    </w:rPr>
  </w:style>
  <w:style w:type="paragraph" w:customStyle="1" w:styleId="P68B1DB1-Normalny2">
    <w:name w:val="P68B1DB1-Normalny2"/>
    <w:basedOn w:val="Normal"/>
    <w:rPr>
      <w:rFonts w:asciiTheme="minorHAnsi" w:eastAsia="Times New Roman" w:hAnsiTheme="minorHAnsi" w:cstheme="minorHAnsi"/>
      <w:b/>
      <w:color w:val="FFFFFF" w:themeColor="background1"/>
    </w:rPr>
  </w:style>
  <w:style w:type="paragraph" w:customStyle="1" w:styleId="P68B1DB1-Normalny3">
    <w:name w:val="P68B1DB1-Normalny3"/>
    <w:basedOn w:val="Normal"/>
    <w:rPr>
      <w:rFonts w:asciiTheme="minorHAnsi" w:hAnsiTheme="minorHAnsi" w:cstheme="minorHAnsi"/>
      <w:b/>
    </w:rPr>
  </w:style>
  <w:style w:type="paragraph" w:customStyle="1" w:styleId="P68B1DB1-Normalny4">
    <w:name w:val="P68B1DB1-Normalny4"/>
    <w:basedOn w:val="Normal"/>
    <w:rPr>
      <w:rFonts w:asciiTheme="minorHAnsi" w:hAnsiTheme="minorHAnsi" w:cstheme="minorHAnsi"/>
    </w:rPr>
  </w:style>
  <w:style w:type="paragraph" w:customStyle="1" w:styleId="P68B1DB1-Akapitzlist5">
    <w:name w:val="P68B1DB1-Akapitzlist5"/>
    <w:basedOn w:val="Prrafodelista"/>
    <w:rPr>
      <w:rFonts w:asciiTheme="minorHAnsi" w:hAnsiTheme="minorHAnsi" w:cstheme="minorHAnsi"/>
    </w:rPr>
  </w:style>
  <w:style w:type="paragraph" w:customStyle="1" w:styleId="P68B1DB1-Normalny6">
    <w:name w:val="P68B1DB1-Normalny6"/>
    <w:basedOn w:val="Normal"/>
    <w:rPr>
      <w:rFonts w:asciiTheme="minorHAnsi" w:eastAsia="Times New Roman" w:hAnsiTheme="minorHAnsi" w:cstheme="minorHAnsi"/>
      <w:b/>
    </w:rPr>
  </w:style>
  <w:style w:type="paragraph" w:customStyle="1" w:styleId="P68B1DB1-Akapitzlist7">
    <w:name w:val="P68B1DB1-Akapitzlist7"/>
    <w:basedOn w:val="Prrafodelista"/>
    <w:rPr>
      <w:rFonts w:asciiTheme="minorHAnsi" w:eastAsia="Times New Roman" w:hAnsiTheme="minorHAnsi" w:cstheme="minorHAnsi"/>
      <w:b/>
    </w:rPr>
  </w:style>
  <w:style w:type="paragraph" w:customStyle="1" w:styleId="P68B1DB1-Normalny8">
    <w:name w:val="P68B1DB1-Normalny8"/>
    <w:basedOn w:val="Normal"/>
    <w:rPr>
      <w:rFonts w:asciiTheme="minorHAnsi" w:eastAsia="Times New Roman" w:hAnsiTheme="minorHAnsi" w:cstheme="minorHAnsi"/>
    </w:rPr>
  </w:style>
  <w:style w:type="paragraph" w:customStyle="1" w:styleId="P68B1DB1-Normalny9">
    <w:name w:val="P68B1DB1-Normalny9"/>
    <w:basedOn w:val="Normal"/>
    <w:rPr>
      <w:rFonts w:asciiTheme="minorHAnsi" w:hAnsiTheme="minorHAnsi" w:cstheme="minorHAnsi"/>
      <w:b/>
      <w:color w:val="FFFFFF" w:themeColor="background1"/>
    </w:rPr>
  </w:style>
  <w:style w:type="paragraph" w:customStyle="1" w:styleId="P68B1DB1-Akapitzlist10">
    <w:name w:val="P68B1DB1-Akapitzlist10"/>
    <w:basedOn w:val="Prrafodelista"/>
    <w:rPr>
      <w:rFonts w:asciiTheme="minorHAnsi" w:hAnsiTheme="minorHAnsi" w:cstheme="minorHAnsi"/>
      <w:b/>
    </w:rPr>
  </w:style>
  <w:style w:type="paragraph" w:customStyle="1" w:styleId="P68B1DB1-Akapitzlist11">
    <w:name w:val="P68B1DB1-Akapitzlist11"/>
    <w:basedOn w:val="Prrafodelista"/>
    <w:rPr>
      <w:rFonts w:asciiTheme="minorHAnsi" w:eastAsia="Times New Roman" w:hAnsiTheme="minorHAnsi" w:cstheme="minorHAnsi"/>
    </w:rPr>
  </w:style>
  <w:style w:type="paragraph" w:customStyle="1" w:styleId="P68B1DB1-Normalny12">
    <w:name w:val="P68B1DB1-Normalny12"/>
    <w:basedOn w:val="Normal"/>
    <w:rPr>
      <w:rFonts w:asciiTheme="minorHAnsi" w:hAnsiTheme="minorHAnsi" w:cstheme="minorHAnsi"/>
      <w:color w:val="000000" w:themeColor="text1"/>
    </w:rPr>
  </w:style>
  <w:style w:type="paragraph" w:customStyle="1" w:styleId="P68B1DB1-Normalny13">
    <w:name w:val="P68B1DB1-Normalny13"/>
    <w:basedOn w:val="Normal"/>
    <w:rPr>
      <w:b/>
    </w:rPr>
  </w:style>
  <w:style w:type="paragraph" w:customStyle="1" w:styleId="P68B1DB1-Normalny14">
    <w:name w:val="P68B1DB1-Normalny14"/>
    <w:basedOn w:val="Normal"/>
    <w:rPr>
      <w:rFonts w:ascii="Bahnschrift SemiLight" w:hAnsi="Bahnschrift SemiLight"/>
      <w:b/>
      <w:color w:val="0CA373"/>
    </w:rPr>
  </w:style>
  <w:style w:type="paragraph" w:customStyle="1" w:styleId="P68B1DB1-Normalny15">
    <w:name w:val="P68B1DB1-Normalny15"/>
    <w:basedOn w:val="Normal"/>
    <w:rPr>
      <w:rFonts w:ascii="YADLjI9qxTA 0" w:hAnsi="YADLjI9qxTA 0"/>
      <w:color w:val="FFFFFF" w:themeColor="background1"/>
      <w:kern w:val="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i.org/10.1093/jeclap/lpaa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Álvaro Matilla</cp:lastModifiedBy>
  <cp:revision>7</cp:revision>
  <dcterms:created xsi:type="dcterms:W3CDTF">2022-10-05T07:32:00Z</dcterms:created>
  <dcterms:modified xsi:type="dcterms:W3CDTF">2022-11-16T15:00:00Z</dcterms:modified>
</cp:coreProperties>
</file>