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8CC66" w14:textId="3755FC58" w:rsidR="006049C6" w:rsidRPr="0076461E" w:rsidRDefault="006049C6" w:rsidP="005C508D">
      <w:pPr>
        <w:ind w:left="708"/>
        <w:jc w:val="center"/>
        <w:rPr>
          <w:rFonts w:asciiTheme="minorHAnsi" w:hAnsiTheme="minorHAnsi" w:cstheme="minorHAnsi"/>
          <w:b/>
          <w:bCs/>
          <w:color w:val="0CA373"/>
          <w:lang w:val="en-GB"/>
        </w:rPr>
      </w:pPr>
      <w:r w:rsidRPr="0076461E">
        <w:rPr>
          <w:rFonts w:asciiTheme="minorHAnsi" w:hAnsiTheme="minorHAnsi" w:cstheme="minorHAnsi"/>
          <w:b/>
          <w:bCs/>
          <w:color w:val="0CA373"/>
          <w:lang w:val="en-GB"/>
        </w:rPr>
        <w:t>Training Fiche Template</w:t>
      </w:r>
    </w:p>
    <w:tbl>
      <w:tblPr>
        <w:tblStyle w:val="Siatkatabeli"/>
        <w:tblW w:w="935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716"/>
        <w:gridCol w:w="5501"/>
        <w:gridCol w:w="1136"/>
      </w:tblGrid>
      <w:tr w:rsidR="006049C6" w:rsidRPr="0076461E" w14:paraId="26C71E5C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3A24EE25" w14:textId="77777777" w:rsidR="006049C6" w:rsidRPr="0076461E" w:rsidRDefault="006049C6">
            <w:pPr>
              <w:tabs>
                <w:tab w:val="left" w:pos="1157"/>
                <w:tab w:val="center" w:pos="1250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76461E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Title </w:t>
            </w:r>
            <w:r w:rsidRPr="0076461E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ab/>
            </w:r>
            <w:r w:rsidRPr="0076461E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ab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D0CFF8" w14:textId="09F05867" w:rsidR="006049C6" w:rsidRPr="0076461E" w:rsidRDefault="00DB6689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Pomoc publiczna i współfinansowanie miejsc </w:t>
            </w:r>
            <w:proofErr w:type="gramStart"/>
            <w:r>
              <w:rPr>
                <w:rFonts w:asciiTheme="minorHAnsi" w:hAnsiTheme="minorHAnsi" w:cstheme="minorHAnsi"/>
                <w:b/>
                <w:bCs/>
              </w:rPr>
              <w:t>pracy</w:t>
            </w:r>
            <w:proofErr w:type="gram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6049C6" w:rsidRPr="0076461E" w14:paraId="7C3243C2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3FE46AEA" w14:textId="77777777" w:rsidR="006049C6" w:rsidRPr="0076461E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76461E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Keywords (meta tag)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E67564" w14:textId="363421EE" w:rsidR="006049C6" w:rsidRPr="0076461E" w:rsidRDefault="00DB6689" w:rsidP="00DB668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Pomoc publiczna, Tarcze antykryzoswe, Ulgi dla MŚP</w:t>
            </w:r>
          </w:p>
        </w:tc>
      </w:tr>
      <w:tr w:rsidR="006049C6" w:rsidRPr="0076461E" w14:paraId="1D8142CC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2F5E5FCA" w14:textId="77777777" w:rsidR="006049C6" w:rsidRPr="0076461E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76461E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Language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8D9B07" w14:textId="589052EF" w:rsidR="006049C6" w:rsidRPr="0076461E" w:rsidRDefault="00DB6689" w:rsidP="00DB668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Polski </w:t>
            </w:r>
          </w:p>
        </w:tc>
      </w:tr>
      <w:tr w:rsidR="006049C6" w:rsidRPr="0076461E" w14:paraId="4189EAD0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02EC4B21" w14:textId="77777777" w:rsidR="006049C6" w:rsidRPr="0076461E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76461E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Objectives</w:t>
            </w:r>
            <w:proofErr w:type="gramStart"/>
            <w:r w:rsidRPr="0076461E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  </w:t>
            </w:r>
            <w:proofErr w:type="gramEnd"/>
            <w:r w:rsidRPr="0076461E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/ Goals / Learnig outcomes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A02567" w14:textId="3FE11397" w:rsidR="00DB6689" w:rsidRPr="00DB6689" w:rsidRDefault="00DB6689" w:rsidP="00DB6689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es-ES"/>
              </w:rPr>
              <w:t>Dostarczenie wiedzy</w:t>
            </w:r>
            <w:r w:rsidRPr="00DB6689">
              <w:rPr>
                <w:rFonts w:asciiTheme="minorHAnsi" w:hAnsiTheme="minorHAnsi" w:cstheme="minorHAnsi"/>
                <w:lang w:val="es-ES"/>
              </w:rPr>
              <w:t xml:space="preserve"> o rządowych </w:t>
            </w:r>
            <w:r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Pr="00DB6689">
              <w:rPr>
                <w:rFonts w:asciiTheme="minorHAnsi" w:hAnsiTheme="minorHAnsi" w:cstheme="minorHAnsi"/>
                <w:lang w:val="es-ES"/>
              </w:rPr>
              <w:t>mechanizmam wsparcia kryzysowego</w:t>
            </w:r>
            <w:r>
              <w:rPr>
                <w:rFonts w:asciiTheme="minorHAnsi" w:hAnsiTheme="minorHAnsi" w:cstheme="minorHAnsi"/>
                <w:lang w:val="es-ES"/>
              </w:rPr>
              <w:t>, dofinansowaniu miejsc pracy i ulgach dla MŚP</w:t>
            </w:r>
          </w:p>
          <w:p w14:paraId="26D06BEE" w14:textId="2E589296" w:rsidR="00DB6689" w:rsidRDefault="00DB6689" w:rsidP="00DB6689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Nabycie umiejętności wyboru i korzystania z adekwatnego mechanizmu pomocowego </w:t>
            </w:r>
          </w:p>
          <w:p w14:paraId="3E0ADB40" w14:textId="5AA716A6" w:rsidR="006049C6" w:rsidRPr="00DB6689" w:rsidRDefault="00DB6689" w:rsidP="00DB6689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Zdobycie wiedzy o sprawdzonych strategiach wspomagania przedsiębiorstw w kryzysie</w:t>
            </w:r>
          </w:p>
        </w:tc>
      </w:tr>
      <w:tr w:rsidR="006049C6" w:rsidRPr="0076461E" w14:paraId="5EBD9948" w14:textId="77777777" w:rsidTr="006049C6">
        <w:tc>
          <w:tcPr>
            <w:tcW w:w="9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301FFC2" w14:textId="73B7C98A" w:rsidR="006049C6" w:rsidRPr="0076461E" w:rsidRDefault="006049C6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76461E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Training area: (Select one)</w:t>
            </w:r>
            <w:proofErr w:type="gramStart"/>
            <w:r w:rsidRPr="0076461E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  </w:t>
            </w:r>
            <w:proofErr w:type="gramEnd"/>
          </w:p>
        </w:tc>
      </w:tr>
      <w:tr w:rsidR="006049C6" w:rsidRPr="0076461E" w14:paraId="6A40FB26" w14:textId="77777777" w:rsidTr="006049C6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E36E6" w14:textId="23D4EBD0" w:rsidR="006049C6" w:rsidRPr="0076461E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76461E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Online / Digital Marketing / Cyber-Security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787CE3ED" w14:textId="77777777" w:rsidR="006049C6" w:rsidRPr="0076461E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</w:tr>
      <w:tr w:rsidR="006049C6" w:rsidRPr="0076461E" w14:paraId="51EB1597" w14:textId="77777777" w:rsidTr="006049C6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EFCAFA" w14:textId="1DEB9A3B" w:rsidR="006049C6" w:rsidRPr="0076461E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76461E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E-Commerce / Financing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5F4AC16B" w14:textId="1B9FA702" w:rsidR="006049C6" w:rsidRPr="0076461E" w:rsidRDefault="00C37389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  <w:proofErr w:type="gramStart"/>
            <w:r w:rsidRPr="0076461E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  <w:t>x</w:t>
            </w:r>
            <w:proofErr w:type="gramEnd"/>
          </w:p>
        </w:tc>
      </w:tr>
      <w:tr w:rsidR="006049C6" w:rsidRPr="0076461E" w14:paraId="1597E55E" w14:textId="77777777" w:rsidTr="006049C6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81507" w14:textId="7F1DB19B" w:rsidR="006049C6" w:rsidRPr="0076461E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76461E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Digital Well-Being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453B78D9" w14:textId="77777777" w:rsidR="006049C6" w:rsidRPr="0076461E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</w:tr>
      <w:tr w:rsidR="006049C6" w:rsidRPr="0076461E" w14:paraId="60C30E45" w14:textId="77777777" w:rsidTr="006049C6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6F407" w14:textId="76C0311E" w:rsidR="006049C6" w:rsidRPr="0076461E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76461E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Smart work / Digital Nomads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600CA92D" w14:textId="77777777" w:rsidR="006049C6" w:rsidRPr="0076461E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</w:tr>
      <w:tr w:rsidR="006049C6" w:rsidRPr="0076461E" w14:paraId="1F1E48C0" w14:textId="77777777" w:rsidTr="006975E6">
        <w:trPr>
          <w:trHeight w:val="2257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064D2EB5" w14:textId="77777777" w:rsidR="006049C6" w:rsidRPr="0076461E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76461E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Description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DE6C53" w14:textId="77777777" w:rsidR="00DB6689" w:rsidRPr="00DB6689" w:rsidRDefault="00DB6689" w:rsidP="00DB6689">
            <w:pPr>
              <w:pStyle w:val="Akapitzlist"/>
              <w:ind w:left="36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pl-PL" w:eastAsia="en-GB"/>
              </w:rPr>
            </w:pPr>
            <w:r w:rsidRPr="00DB6689">
              <w:rPr>
                <w:rFonts w:asciiTheme="minorHAnsi" w:eastAsia="Times New Roman" w:hAnsiTheme="minorHAnsi" w:cstheme="minorHAnsi"/>
                <w:b/>
                <w:bCs/>
                <w:lang w:val="pl-PL" w:eastAsia="en-GB"/>
              </w:rPr>
              <w:t>Pomoc publiczna to pomoc przyznawana przez państwo lub ze źródeł państwowych, która narusza lub grozi zakłóceniem konkurencji poprzez sprzyjanie niektórym przedsiębiorstwom lub produkcji niektórych produktów.</w:t>
            </w:r>
          </w:p>
          <w:p w14:paraId="73EE7E59" w14:textId="77777777" w:rsidR="00DB6689" w:rsidRPr="00DB6689" w:rsidRDefault="00DB6689" w:rsidP="00DB6689">
            <w:pPr>
              <w:pStyle w:val="Akapitzlist"/>
              <w:ind w:left="36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pl-PL" w:eastAsia="en-GB"/>
              </w:rPr>
            </w:pPr>
            <w:r w:rsidRPr="00DB6689">
              <w:rPr>
                <w:rFonts w:asciiTheme="minorHAnsi" w:eastAsia="Times New Roman" w:hAnsiTheme="minorHAnsi" w:cstheme="minorHAnsi"/>
                <w:b/>
                <w:bCs/>
                <w:lang w:val="pl-PL" w:eastAsia="en-GB"/>
              </w:rPr>
              <w:t>Pomoc publiczna może być udzielona w szczególności w formie:</w:t>
            </w:r>
          </w:p>
          <w:p w14:paraId="1F720024" w14:textId="77777777" w:rsidR="00DB6689" w:rsidRPr="00DB6689" w:rsidRDefault="00DB6689" w:rsidP="00DB6689">
            <w:pPr>
              <w:pStyle w:val="Akapitzlist"/>
              <w:ind w:left="36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pl-PL" w:eastAsia="en-GB"/>
              </w:rPr>
            </w:pPr>
            <w:r w:rsidRPr="00DB6689">
              <w:rPr>
                <w:rFonts w:asciiTheme="minorHAnsi" w:eastAsia="Times New Roman" w:hAnsiTheme="minorHAnsi" w:cstheme="minorHAnsi"/>
                <w:b/>
                <w:bCs/>
                <w:lang w:val="pl-PL" w:eastAsia="en-GB"/>
              </w:rPr>
              <w:t>• dotacji i ulg podatkowych;</w:t>
            </w:r>
          </w:p>
          <w:p w14:paraId="737C1674" w14:textId="77777777" w:rsidR="00DB6689" w:rsidRPr="00DB6689" w:rsidRDefault="00DB6689" w:rsidP="00DB6689">
            <w:pPr>
              <w:pStyle w:val="Akapitzlist"/>
              <w:ind w:left="36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pl-PL" w:eastAsia="en-GB"/>
              </w:rPr>
            </w:pPr>
            <w:r w:rsidRPr="00DB6689">
              <w:rPr>
                <w:rFonts w:asciiTheme="minorHAnsi" w:eastAsia="Times New Roman" w:hAnsiTheme="minorHAnsi" w:cstheme="minorHAnsi"/>
                <w:b/>
                <w:bCs/>
                <w:lang w:val="pl-PL" w:eastAsia="en-GB"/>
              </w:rPr>
              <w:t>• dotacji kapitałowych i inwestycyjnych;</w:t>
            </w:r>
          </w:p>
          <w:p w14:paraId="7A7654E0" w14:textId="77777777" w:rsidR="00DB6689" w:rsidRPr="00DB6689" w:rsidRDefault="00DB6689" w:rsidP="00DB6689">
            <w:pPr>
              <w:pStyle w:val="Akapitzlist"/>
              <w:ind w:left="36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pl-PL" w:eastAsia="en-GB"/>
              </w:rPr>
            </w:pPr>
            <w:r w:rsidRPr="00DB6689">
              <w:rPr>
                <w:rFonts w:asciiTheme="minorHAnsi" w:eastAsia="Times New Roman" w:hAnsiTheme="minorHAnsi" w:cstheme="minorHAnsi"/>
                <w:b/>
                <w:bCs/>
                <w:lang w:val="pl-PL" w:eastAsia="en-GB"/>
              </w:rPr>
              <w:t>• tzw. „miękkich kredytów” (kredyty preferencyjne i warunkowo spłacalne, odroczenie i spłata w ratach);</w:t>
            </w:r>
          </w:p>
          <w:p w14:paraId="5A0579CB" w14:textId="2034CB7E" w:rsidR="006049C6" w:rsidRPr="00DB6689" w:rsidRDefault="00DB6689" w:rsidP="00DB6689">
            <w:pPr>
              <w:pStyle w:val="Akapitzlist"/>
              <w:ind w:left="36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pl-PL" w:eastAsia="en-GB"/>
              </w:rPr>
            </w:pPr>
            <w:r w:rsidRPr="00DB6689">
              <w:rPr>
                <w:rFonts w:asciiTheme="minorHAnsi" w:eastAsia="Times New Roman" w:hAnsiTheme="minorHAnsi" w:cstheme="minorHAnsi"/>
                <w:b/>
                <w:bCs/>
                <w:lang w:val="pl-PL" w:eastAsia="en-GB"/>
              </w:rPr>
              <w:t>• poręczeń i gwarancji.</w:t>
            </w:r>
          </w:p>
        </w:tc>
      </w:tr>
      <w:tr w:rsidR="006049C6" w:rsidRPr="0076461E" w14:paraId="008CA902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7D9A5B8" w14:textId="77777777" w:rsidR="006049C6" w:rsidRPr="0076461E" w:rsidRDefault="006049C6">
            <w:pPr>
              <w:rPr>
                <w:rFonts w:asciiTheme="minorHAnsi" w:hAnsiTheme="minorHAnsi" w:cstheme="minorHAnsi"/>
                <w:b/>
                <w:bCs/>
              </w:rPr>
            </w:pPr>
            <w:r w:rsidRPr="0076461E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 xml:space="preserve">Contents arranged in </w:t>
            </w:r>
            <w:proofErr w:type="gramStart"/>
            <w:r w:rsidRPr="0076461E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3</w:t>
            </w:r>
            <w:proofErr w:type="gramEnd"/>
            <w:r w:rsidRPr="0076461E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 xml:space="preserve"> levels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6245CE" w14:textId="22A222E5" w:rsidR="008C3AEB" w:rsidRPr="0076461E" w:rsidRDefault="00DB6689" w:rsidP="000945CE">
            <w:pPr>
              <w:pStyle w:val="Akapitzlist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Nazwa modułu:</w:t>
            </w:r>
          </w:p>
          <w:p w14:paraId="743062E7" w14:textId="1515D3FB" w:rsidR="000945CE" w:rsidRPr="0076461E" w:rsidRDefault="00DB6689" w:rsidP="008C3AEB">
            <w:pPr>
              <w:pStyle w:val="Akapitzlist"/>
              <w:numPr>
                <w:ilvl w:val="1"/>
                <w:numId w:val="4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 xml:space="preserve">Pomoc publiczna i współfinansowanie miejsc pracy </w:t>
            </w:r>
          </w:p>
          <w:p w14:paraId="7F4F2D07" w14:textId="353D40CD" w:rsidR="000945CE" w:rsidRPr="0076461E" w:rsidRDefault="00DB6689" w:rsidP="008C3AE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val="pl-PL" w:eastAsia="pl-PL"/>
              </w:rPr>
            </w:pPr>
            <w:r>
              <w:rPr>
                <w:rFonts w:asciiTheme="minorHAnsi" w:eastAsia="Times New Roman" w:hAnsiTheme="minorHAnsi" w:cstheme="minorHAnsi"/>
                <w:lang w:val="pl-PL" w:eastAsia="pl-PL"/>
              </w:rPr>
              <w:t>Mechanizmy wsparcia państwowego</w:t>
            </w:r>
          </w:p>
          <w:p w14:paraId="1B7F6227" w14:textId="37631390" w:rsidR="000945CE" w:rsidRPr="0076461E" w:rsidRDefault="00DB6689" w:rsidP="008C3AE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val="pl-PL" w:eastAsia="pl-PL"/>
              </w:rPr>
            </w:pPr>
            <w:r>
              <w:rPr>
                <w:rFonts w:asciiTheme="minorHAnsi" w:eastAsia="Times New Roman" w:hAnsiTheme="minorHAnsi" w:cstheme="minorHAnsi"/>
                <w:lang w:val="pl-PL" w:eastAsia="pl-PL"/>
              </w:rPr>
              <w:t xml:space="preserve">Tarcze antykryzysowe </w:t>
            </w:r>
          </w:p>
          <w:p w14:paraId="00E52858" w14:textId="5FF35F46" w:rsidR="000945CE" w:rsidRPr="0076461E" w:rsidRDefault="00DB6689" w:rsidP="008C3AE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val="pl-PL" w:eastAsia="pl-PL"/>
              </w:rPr>
            </w:pPr>
            <w:r>
              <w:rPr>
                <w:rFonts w:asciiTheme="minorHAnsi" w:eastAsia="Times New Roman" w:hAnsiTheme="minorHAnsi" w:cstheme="minorHAnsi"/>
                <w:lang w:val="pl-PL" w:eastAsia="pl-PL"/>
              </w:rPr>
              <w:t>Dofinansowanie miejsc pracy</w:t>
            </w:r>
          </w:p>
          <w:p w14:paraId="3D706F15" w14:textId="4D7ADD53" w:rsidR="000945CE" w:rsidRPr="0076461E" w:rsidRDefault="00DB6689" w:rsidP="008C3AE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val="pl-PL" w:eastAsia="pl-PL"/>
              </w:rPr>
            </w:pPr>
            <w:r>
              <w:rPr>
                <w:rFonts w:asciiTheme="minorHAnsi" w:eastAsia="Times New Roman" w:hAnsiTheme="minorHAnsi" w:cstheme="minorHAnsi"/>
                <w:lang w:val="pl-PL" w:eastAsia="pl-PL"/>
              </w:rPr>
              <w:t>Ulgi dla MŚP</w:t>
            </w:r>
          </w:p>
          <w:p w14:paraId="0914DDC6" w14:textId="77777777" w:rsidR="006049C6" w:rsidRPr="0076461E" w:rsidRDefault="006049C6" w:rsidP="000945CE">
            <w:pPr>
              <w:spacing w:before="100" w:beforeAutospacing="1" w:after="100" w:afterAutospacing="1" w:line="240" w:lineRule="auto"/>
              <w:ind w:left="720"/>
              <w:rPr>
                <w:rFonts w:asciiTheme="minorHAnsi" w:hAnsiTheme="minorHAnsi" w:cstheme="minorHAnsi"/>
              </w:rPr>
            </w:pPr>
          </w:p>
        </w:tc>
      </w:tr>
      <w:tr w:rsidR="006049C6" w:rsidRPr="0076461E" w14:paraId="70DEC983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2F3C6E6B" w14:textId="77777777" w:rsidR="006049C6" w:rsidRPr="0076461E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  <w:r w:rsidRPr="0076461E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 xml:space="preserve">Self-evaluation (multiple choice queries and </w:t>
            </w:r>
            <w:r w:rsidRPr="0076461E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lastRenderedPageBreak/>
              <w:t>answers)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4DDA8" w14:textId="77777777" w:rsidR="006049C6" w:rsidRPr="0076461E" w:rsidRDefault="006049C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color w:val="266C9F"/>
                <w:lang w:val="en-US" w:eastAsia="en-GB"/>
              </w:rPr>
            </w:pPr>
          </w:p>
          <w:p w14:paraId="52FFA5D5" w14:textId="77777777" w:rsidR="00000000" w:rsidRPr="00DB6689" w:rsidRDefault="00DB6689" w:rsidP="00DB6689">
            <w:pPr>
              <w:pStyle w:val="Akapitzlist"/>
              <w:numPr>
                <w:ilvl w:val="0"/>
                <w:numId w:val="13"/>
              </w:numPr>
              <w:spacing w:after="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pl-PL" w:eastAsia="en-GB"/>
              </w:rPr>
            </w:pPr>
            <w:r w:rsidRPr="00DB6689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Tarcze antykryzysowe były dostępne dla:</w:t>
            </w:r>
          </w:p>
          <w:p w14:paraId="3489C97A" w14:textId="77777777" w:rsidR="00DB6689" w:rsidRPr="00DB6689" w:rsidRDefault="00DB6689" w:rsidP="00DB6689">
            <w:pPr>
              <w:spacing w:after="0"/>
              <w:ind w:left="409"/>
              <w:textAlignment w:val="baseline"/>
              <w:rPr>
                <w:rFonts w:asciiTheme="minorHAnsi" w:eastAsia="Times New Roman" w:hAnsiTheme="minorHAnsi" w:cstheme="minorHAnsi"/>
                <w:bCs/>
                <w:lang w:val="pl-PL" w:eastAsia="en-GB"/>
              </w:rPr>
            </w:pPr>
            <w:r w:rsidRPr="00DB6689">
              <w:rPr>
                <w:rFonts w:asciiTheme="minorHAnsi" w:eastAsia="Times New Roman" w:hAnsiTheme="minorHAnsi" w:cstheme="minorHAnsi"/>
                <w:bCs/>
                <w:lang w:val="es-ES" w:eastAsia="en-GB"/>
              </w:rPr>
              <w:lastRenderedPageBreak/>
              <w:t>a.-</w:t>
            </w:r>
            <w:r w:rsidRPr="00DB6689">
              <w:rPr>
                <w:rFonts w:asciiTheme="minorHAnsi" w:eastAsia="Times New Roman" w:hAnsiTheme="minorHAnsi" w:cstheme="minorHAnsi"/>
                <w:bCs/>
                <w:lang w:val="pl-PL" w:eastAsia="en-GB"/>
              </w:rPr>
              <w:t xml:space="preserve"> średnich i dużych</w:t>
            </w:r>
          </w:p>
          <w:p w14:paraId="250312C8" w14:textId="77777777" w:rsidR="00DB6689" w:rsidRPr="00DB6689" w:rsidRDefault="00DB6689" w:rsidP="00DB6689">
            <w:pPr>
              <w:spacing w:after="0"/>
              <w:ind w:left="409"/>
              <w:textAlignment w:val="baseline"/>
              <w:rPr>
                <w:rFonts w:asciiTheme="minorHAnsi" w:eastAsia="Times New Roman" w:hAnsiTheme="minorHAnsi" w:cstheme="minorHAnsi"/>
                <w:bCs/>
                <w:lang w:val="pl-PL" w:eastAsia="en-GB"/>
              </w:rPr>
            </w:pPr>
            <w:r w:rsidRPr="00DB6689">
              <w:rPr>
                <w:rFonts w:asciiTheme="minorHAnsi" w:eastAsia="Times New Roman" w:hAnsiTheme="minorHAnsi" w:cstheme="minorHAnsi"/>
                <w:bCs/>
                <w:lang w:val="es-ES" w:eastAsia="en-GB"/>
              </w:rPr>
              <w:t>b.-</w:t>
            </w:r>
            <w:r w:rsidRPr="00DB6689">
              <w:rPr>
                <w:rFonts w:asciiTheme="minorHAnsi" w:eastAsia="Times New Roman" w:hAnsiTheme="minorHAnsi" w:cstheme="minorHAnsi"/>
                <w:bCs/>
                <w:lang w:val="pl-PL" w:eastAsia="en-GB"/>
              </w:rPr>
              <w:t xml:space="preserve"> mikro i małych</w:t>
            </w:r>
          </w:p>
          <w:p w14:paraId="01F444BF" w14:textId="77777777" w:rsidR="00DB6689" w:rsidRPr="00DB6689" w:rsidRDefault="00DB6689" w:rsidP="00DB6689">
            <w:pPr>
              <w:spacing w:after="0"/>
              <w:ind w:left="409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pl-PL" w:eastAsia="en-GB"/>
              </w:rPr>
            </w:pPr>
            <w:r w:rsidRPr="00DB6689">
              <w:rPr>
                <w:rFonts w:asciiTheme="minorHAnsi" w:eastAsia="Times New Roman" w:hAnsiTheme="minorHAnsi" w:cstheme="minorHAnsi"/>
                <w:b/>
                <w:bCs/>
                <w:lang w:val="es-ES" w:eastAsia="en-GB"/>
              </w:rPr>
              <w:t>c.-</w:t>
            </w:r>
            <w:r w:rsidRPr="00DB6689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wszystkich przedsiębiorców</w:t>
            </w:r>
          </w:p>
          <w:p w14:paraId="4803996B" w14:textId="1C53A98F" w:rsidR="00DB6689" w:rsidRPr="00DB6689" w:rsidRDefault="00DB6689" w:rsidP="00DB6689">
            <w:pPr>
              <w:pStyle w:val="Akapitzlist"/>
              <w:numPr>
                <w:ilvl w:val="0"/>
                <w:numId w:val="13"/>
              </w:numPr>
              <w:spacing w:after="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pl-PL" w:eastAsia="en-GB"/>
              </w:rPr>
            </w:pPr>
            <w:r w:rsidRPr="00DB6689">
              <w:rPr>
                <w:rFonts w:asciiTheme="minorHAnsi" w:eastAsia="Times New Roman" w:hAnsiTheme="minorHAnsi" w:cstheme="minorHAnsi"/>
                <w:b/>
                <w:bCs/>
                <w:lang w:val="es-ES" w:eastAsia="en-GB"/>
              </w:rPr>
              <w:t>W ramach pomocy publicznej można było ubiegać się o:</w:t>
            </w:r>
            <w:r w:rsidRPr="00DB6689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:</w:t>
            </w:r>
          </w:p>
          <w:p w14:paraId="4D216AD2" w14:textId="77777777" w:rsidR="00DB6689" w:rsidRPr="00DB6689" w:rsidRDefault="00DB6689" w:rsidP="00DB6689">
            <w:pPr>
              <w:spacing w:after="0"/>
              <w:ind w:left="409"/>
              <w:textAlignment w:val="baseline"/>
              <w:rPr>
                <w:rFonts w:asciiTheme="minorHAnsi" w:eastAsia="Times New Roman" w:hAnsiTheme="minorHAnsi" w:cstheme="minorHAnsi"/>
                <w:bCs/>
                <w:lang w:val="pl-PL" w:eastAsia="en-GB"/>
              </w:rPr>
            </w:pPr>
            <w:r w:rsidRPr="00DB6689">
              <w:rPr>
                <w:rFonts w:asciiTheme="minorHAnsi" w:eastAsia="Times New Roman" w:hAnsiTheme="minorHAnsi" w:cstheme="minorHAnsi"/>
                <w:bCs/>
                <w:lang w:val="es-ES" w:eastAsia="en-GB"/>
              </w:rPr>
              <w:t>a.-</w:t>
            </w:r>
            <w:r w:rsidRPr="00DB6689">
              <w:rPr>
                <w:rFonts w:asciiTheme="minorHAnsi" w:eastAsia="Times New Roman" w:hAnsiTheme="minorHAnsi" w:cstheme="minorHAnsi"/>
                <w:bCs/>
                <w:lang w:val="pl-PL" w:eastAsia="en-GB"/>
              </w:rPr>
              <w:t xml:space="preserve"> </w:t>
            </w:r>
            <w:proofErr w:type="gramStart"/>
            <w:r w:rsidRPr="00DB6689">
              <w:rPr>
                <w:rFonts w:asciiTheme="minorHAnsi" w:eastAsia="Times New Roman" w:hAnsiTheme="minorHAnsi" w:cstheme="minorHAnsi"/>
                <w:bCs/>
                <w:lang w:val="en-US" w:eastAsia="en-GB"/>
              </w:rPr>
              <w:t>wsparcie</w:t>
            </w:r>
            <w:proofErr w:type="gramEnd"/>
            <w:r w:rsidRPr="00DB6689">
              <w:rPr>
                <w:rFonts w:asciiTheme="minorHAnsi" w:eastAsia="Times New Roman" w:hAnsiTheme="minorHAnsi" w:cstheme="minorHAnsi"/>
                <w:bCs/>
                <w:lang w:val="en-US" w:eastAsia="en-GB"/>
              </w:rPr>
              <w:t xml:space="preserve"> miejsc pracy</w:t>
            </w:r>
          </w:p>
          <w:p w14:paraId="160BE909" w14:textId="77777777" w:rsidR="00DB6689" w:rsidRPr="00DB6689" w:rsidRDefault="00DB6689" w:rsidP="00DB6689">
            <w:pPr>
              <w:spacing w:after="0"/>
              <w:ind w:left="409"/>
              <w:textAlignment w:val="baseline"/>
              <w:rPr>
                <w:rFonts w:asciiTheme="minorHAnsi" w:eastAsia="Times New Roman" w:hAnsiTheme="minorHAnsi" w:cstheme="minorHAnsi"/>
                <w:bCs/>
                <w:lang w:val="pl-PL" w:eastAsia="en-GB"/>
              </w:rPr>
            </w:pPr>
            <w:r w:rsidRPr="00DB6689">
              <w:rPr>
                <w:rFonts w:asciiTheme="minorHAnsi" w:eastAsia="Times New Roman" w:hAnsiTheme="minorHAnsi" w:cstheme="minorHAnsi"/>
                <w:bCs/>
                <w:lang w:val="es-ES" w:eastAsia="en-GB"/>
              </w:rPr>
              <w:t>b.-</w:t>
            </w:r>
            <w:r w:rsidRPr="00DB6689">
              <w:rPr>
                <w:rFonts w:asciiTheme="minorHAnsi" w:eastAsia="Times New Roman" w:hAnsiTheme="minorHAnsi" w:cstheme="minorHAnsi"/>
                <w:bCs/>
                <w:lang w:val="pl-PL" w:eastAsia="en-GB"/>
              </w:rPr>
              <w:t xml:space="preserve"> dotacje z gwarantowanych funduszy pracy</w:t>
            </w:r>
          </w:p>
          <w:p w14:paraId="61F7C394" w14:textId="77777777" w:rsidR="00DB6689" w:rsidRPr="00DB6689" w:rsidRDefault="00DB6689" w:rsidP="00DB6689">
            <w:pPr>
              <w:spacing w:after="0"/>
              <w:ind w:left="409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pl-PL" w:eastAsia="en-GB"/>
              </w:rPr>
            </w:pPr>
            <w:r w:rsidRPr="00DB6689">
              <w:rPr>
                <w:rFonts w:asciiTheme="minorHAnsi" w:eastAsia="Times New Roman" w:hAnsiTheme="minorHAnsi" w:cstheme="minorHAnsi"/>
                <w:b/>
                <w:bCs/>
                <w:lang w:val="es-ES" w:eastAsia="en-GB"/>
              </w:rPr>
              <w:t>c.-</w:t>
            </w:r>
            <w:r w:rsidRPr="00DB6689">
              <w:rPr>
                <w:rFonts w:asciiTheme="minorHAnsi" w:eastAsia="Times New Roman" w:hAnsiTheme="minorHAnsi" w:cstheme="minorHAnsi"/>
                <w:b/>
                <w:bCs/>
                <w:lang w:val="pl-PL" w:eastAsia="en-GB"/>
              </w:rPr>
              <w:t xml:space="preserve"> wszystkie odpowiedzi</w:t>
            </w:r>
          </w:p>
          <w:p w14:paraId="248045A1" w14:textId="54E2D008" w:rsidR="00DB6689" w:rsidRPr="00DB6689" w:rsidRDefault="00DB6689" w:rsidP="00DB6689">
            <w:pPr>
              <w:pStyle w:val="Akapitzlist"/>
              <w:numPr>
                <w:ilvl w:val="0"/>
                <w:numId w:val="13"/>
              </w:numPr>
              <w:spacing w:after="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pl-PL" w:eastAsia="en-GB"/>
              </w:rPr>
            </w:pPr>
            <w:r w:rsidRPr="00DB6689">
              <w:rPr>
                <w:rFonts w:asciiTheme="minorHAnsi" w:eastAsia="Times New Roman" w:hAnsiTheme="minorHAnsi" w:cstheme="minorHAnsi"/>
                <w:b/>
                <w:bCs/>
                <w:lang w:val="es-ES" w:eastAsia="en-GB"/>
              </w:rPr>
              <w:t>Wysokość dofinansowania była uzależniona od</w:t>
            </w:r>
            <w:r w:rsidRPr="00DB6689"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  <w:t>:</w:t>
            </w:r>
          </w:p>
          <w:p w14:paraId="67FC0867" w14:textId="77777777" w:rsidR="00DB6689" w:rsidRPr="00DB6689" w:rsidRDefault="00DB6689" w:rsidP="00DB6689">
            <w:pPr>
              <w:spacing w:after="0"/>
              <w:ind w:left="409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pl-PL" w:eastAsia="en-GB"/>
              </w:rPr>
            </w:pPr>
            <w:r w:rsidRPr="00DB6689">
              <w:rPr>
                <w:rFonts w:asciiTheme="minorHAnsi" w:eastAsia="Times New Roman" w:hAnsiTheme="minorHAnsi" w:cstheme="minorHAnsi"/>
                <w:b/>
                <w:bCs/>
                <w:lang w:val="es-ES" w:eastAsia="en-GB"/>
              </w:rPr>
              <w:t>a.-</w:t>
            </w:r>
            <w:r w:rsidRPr="00DB6689">
              <w:rPr>
                <w:rFonts w:asciiTheme="minorHAnsi" w:eastAsia="Times New Roman" w:hAnsiTheme="minorHAnsi" w:cstheme="minorHAnsi"/>
                <w:b/>
                <w:bCs/>
                <w:lang w:val="pl-PL" w:eastAsia="en-GB"/>
              </w:rPr>
              <w:t xml:space="preserve"> wielkość spadku obrotów gospodarczych</w:t>
            </w:r>
          </w:p>
          <w:p w14:paraId="4ADB4C3B" w14:textId="77777777" w:rsidR="00DB6689" w:rsidRPr="00DB6689" w:rsidRDefault="00DB6689" w:rsidP="00DB6689">
            <w:pPr>
              <w:spacing w:after="0"/>
              <w:ind w:left="409"/>
              <w:textAlignment w:val="baseline"/>
              <w:rPr>
                <w:rFonts w:asciiTheme="minorHAnsi" w:eastAsia="Times New Roman" w:hAnsiTheme="minorHAnsi" w:cstheme="minorHAnsi"/>
                <w:bCs/>
                <w:lang w:val="pl-PL" w:eastAsia="en-GB"/>
              </w:rPr>
            </w:pPr>
            <w:r w:rsidRPr="00DB6689">
              <w:rPr>
                <w:rFonts w:asciiTheme="minorHAnsi" w:eastAsia="Times New Roman" w:hAnsiTheme="minorHAnsi" w:cstheme="minorHAnsi"/>
                <w:bCs/>
                <w:lang w:val="es-ES" w:eastAsia="en-GB"/>
              </w:rPr>
              <w:t>b.-</w:t>
            </w:r>
            <w:r w:rsidRPr="00DB6689">
              <w:rPr>
                <w:rFonts w:asciiTheme="minorHAnsi" w:eastAsia="Times New Roman" w:hAnsiTheme="minorHAnsi" w:cstheme="minorHAnsi"/>
                <w:bCs/>
                <w:lang w:val="pl-PL" w:eastAsia="en-GB"/>
              </w:rPr>
              <w:t xml:space="preserve"> </w:t>
            </w:r>
            <w:r w:rsidRPr="00DB6689">
              <w:rPr>
                <w:rFonts w:asciiTheme="minorHAnsi" w:eastAsia="Times New Roman" w:hAnsiTheme="minorHAnsi" w:cstheme="minorHAnsi"/>
                <w:bCs/>
                <w:lang w:eastAsia="en-GB"/>
              </w:rPr>
              <w:t>ilości zagrożonych pracowników</w:t>
            </w:r>
          </w:p>
          <w:p w14:paraId="5A085417" w14:textId="77777777" w:rsidR="00DB6689" w:rsidRPr="00DB6689" w:rsidRDefault="00DB6689" w:rsidP="00DB6689">
            <w:pPr>
              <w:spacing w:after="0"/>
              <w:ind w:left="409"/>
              <w:textAlignment w:val="baseline"/>
              <w:rPr>
                <w:rFonts w:asciiTheme="minorHAnsi" w:eastAsia="Times New Roman" w:hAnsiTheme="minorHAnsi" w:cstheme="minorHAnsi"/>
                <w:bCs/>
                <w:lang w:val="pl-PL" w:eastAsia="en-GB"/>
              </w:rPr>
            </w:pPr>
            <w:r w:rsidRPr="00DB6689">
              <w:rPr>
                <w:rFonts w:asciiTheme="minorHAnsi" w:eastAsia="Times New Roman" w:hAnsiTheme="minorHAnsi" w:cstheme="minorHAnsi"/>
                <w:bCs/>
                <w:lang w:val="es-ES" w:eastAsia="en-GB"/>
              </w:rPr>
              <w:t>c.-</w:t>
            </w:r>
            <w:r w:rsidRPr="00DB6689">
              <w:rPr>
                <w:rFonts w:asciiTheme="minorHAnsi" w:eastAsia="Times New Roman" w:hAnsiTheme="minorHAnsi" w:cstheme="minorHAnsi"/>
                <w:bCs/>
                <w:lang w:val="pl-PL" w:eastAsia="en-GB"/>
              </w:rPr>
              <w:t xml:space="preserve"> ilości zwolnień w związku z kryzysem</w:t>
            </w:r>
          </w:p>
          <w:p w14:paraId="6E49DB3B" w14:textId="0E44AF29" w:rsidR="00DB6689" w:rsidRPr="00DB6689" w:rsidRDefault="00DB6689" w:rsidP="00DB6689">
            <w:pPr>
              <w:pStyle w:val="Akapitzlist"/>
              <w:numPr>
                <w:ilvl w:val="0"/>
                <w:numId w:val="13"/>
              </w:numPr>
              <w:spacing w:after="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pl-PL" w:eastAsia="en-GB"/>
              </w:rPr>
            </w:pPr>
            <w:r w:rsidRPr="00DB6689">
              <w:rPr>
                <w:rFonts w:asciiTheme="minorHAnsi" w:eastAsia="Times New Roman" w:hAnsiTheme="minorHAnsi" w:cstheme="minorHAnsi"/>
                <w:b/>
                <w:bCs/>
                <w:lang w:val="es-ES" w:eastAsia="en-GB"/>
              </w:rPr>
              <w:t>Kluczowe środki wspierania płynności Małych i Średnich Przedsiębiorstwo to:</w:t>
            </w:r>
          </w:p>
          <w:p w14:paraId="226C563B" w14:textId="77777777" w:rsidR="00DB6689" w:rsidRPr="00DB6689" w:rsidRDefault="00DB6689" w:rsidP="00DB6689">
            <w:pPr>
              <w:spacing w:after="0"/>
              <w:ind w:left="409"/>
              <w:textAlignment w:val="baseline"/>
              <w:rPr>
                <w:rFonts w:asciiTheme="minorHAnsi" w:eastAsia="Times New Roman" w:hAnsiTheme="minorHAnsi" w:cstheme="minorHAnsi"/>
                <w:bCs/>
                <w:lang w:val="pl-PL" w:eastAsia="en-GB"/>
              </w:rPr>
            </w:pPr>
            <w:r w:rsidRPr="00DB6689">
              <w:rPr>
                <w:rFonts w:asciiTheme="minorHAnsi" w:eastAsia="Times New Roman" w:hAnsiTheme="minorHAnsi" w:cstheme="minorHAnsi"/>
                <w:bCs/>
                <w:lang w:val="es-ES" w:eastAsia="en-GB"/>
              </w:rPr>
              <w:t>a.-</w:t>
            </w:r>
            <w:r w:rsidRPr="00DB6689">
              <w:rPr>
                <w:rFonts w:asciiTheme="minorHAnsi" w:eastAsia="Times New Roman" w:hAnsiTheme="minorHAnsi" w:cstheme="minorHAnsi"/>
                <w:bCs/>
                <w:lang w:val="pl-PL" w:eastAsia="en-GB"/>
              </w:rPr>
              <w:t xml:space="preserve"> ułatwienie procedur upadłościowych</w:t>
            </w:r>
          </w:p>
          <w:p w14:paraId="3134C936" w14:textId="77777777" w:rsidR="00DB6689" w:rsidRPr="00DB6689" w:rsidRDefault="00DB6689" w:rsidP="00DB6689">
            <w:pPr>
              <w:spacing w:after="0"/>
              <w:ind w:left="409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pl-PL" w:eastAsia="en-GB"/>
              </w:rPr>
            </w:pPr>
            <w:r w:rsidRPr="00DB6689">
              <w:rPr>
                <w:rFonts w:asciiTheme="minorHAnsi" w:eastAsia="Times New Roman" w:hAnsiTheme="minorHAnsi" w:cstheme="minorHAnsi"/>
                <w:b/>
                <w:bCs/>
                <w:lang w:val="es-ES" w:eastAsia="en-GB"/>
              </w:rPr>
              <w:t>b.-</w:t>
            </w:r>
            <w:r w:rsidRPr="00DB6689">
              <w:rPr>
                <w:rFonts w:asciiTheme="minorHAnsi" w:eastAsia="Times New Roman" w:hAnsiTheme="minorHAnsi" w:cstheme="minorHAnsi"/>
                <w:b/>
                <w:bCs/>
                <w:lang w:val="pl-PL" w:eastAsia="en-GB"/>
              </w:rPr>
              <w:t xml:space="preserve"> zwolnienia z ubezpieczenia społecznego, dopłaty do wynagrodzeń lub systemy gwarancyjne</w:t>
            </w:r>
          </w:p>
          <w:p w14:paraId="5117E3CC" w14:textId="77777777" w:rsidR="00DB6689" w:rsidRPr="00DB6689" w:rsidRDefault="00DB6689" w:rsidP="00DB6689">
            <w:pPr>
              <w:spacing w:after="0"/>
              <w:ind w:left="409"/>
              <w:textAlignment w:val="baseline"/>
              <w:rPr>
                <w:rFonts w:asciiTheme="minorHAnsi" w:eastAsia="Times New Roman" w:hAnsiTheme="minorHAnsi" w:cstheme="minorHAnsi"/>
                <w:bCs/>
                <w:lang w:val="pl-PL" w:eastAsia="en-GB"/>
              </w:rPr>
            </w:pPr>
            <w:r w:rsidRPr="00DB6689">
              <w:rPr>
                <w:rFonts w:asciiTheme="minorHAnsi" w:eastAsia="Times New Roman" w:hAnsiTheme="minorHAnsi" w:cstheme="minorHAnsi"/>
                <w:bCs/>
                <w:lang w:val="es-ES" w:eastAsia="en-GB"/>
              </w:rPr>
              <w:t xml:space="preserve">c. </w:t>
            </w:r>
            <w:r w:rsidRPr="00DB6689">
              <w:rPr>
                <w:rFonts w:asciiTheme="minorHAnsi" w:eastAsia="Times New Roman" w:hAnsiTheme="minorHAnsi" w:cstheme="minorHAnsi"/>
                <w:bCs/>
                <w:lang w:val="pl-PL" w:eastAsia="en-GB"/>
              </w:rPr>
              <w:t>-</w:t>
            </w:r>
            <w:r w:rsidRPr="00DB6689">
              <w:rPr>
                <w:rFonts w:asciiTheme="minorHAnsi" w:eastAsia="Times New Roman" w:hAnsiTheme="minorHAnsi" w:cstheme="minorHAnsi"/>
                <w:bCs/>
                <w:lang w:val="es-ES" w:eastAsia="en-GB"/>
              </w:rPr>
              <w:t xml:space="preserve"> </w:t>
            </w:r>
            <w:r w:rsidRPr="00DB6689">
              <w:rPr>
                <w:rFonts w:asciiTheme="minorHAnsi" w:eastAsia="Times New Roman" w:hAnsiTheme="minorHAnsi" w:cstheme="minorHAnsi"/>
                <w:bCs/>
                <w:lang w:val="pl-PL" w:eastAsia="en-GB"/>
              </w:rPr>
              <w:t>obniżenie pod</w:t>
            </w:r>
            <w:bookmarkStart w:id="0" w:name="_GoBack"/>
            <w:bookmarkEnd w:id="0"/>
            <w:r w:rsidRPr="00DB6689">
              <w:rPr>
                <w:rFonts w:asciiTheme="minorHAnsi" w:eastAsia="Times New Roman" w:hAnsiTheme="minorHAnsi" w:cstheme="minorHAnsi"/>
                <w:bCs/>
                <w:lang w:val="pl-PL" w:eastAsia="en-GB"/>
              </w:rPr>
              <w:t>atków</w:t>
            </w:r>
          </w:p>
          <w:p w14:paraId="3C8878C0" w14:textId="6DF92AC4" w:rsidR="00DB6689" w:rsidRPr="00DB6689" w:rsidRDefault="00DB6689" w:rsidP="00DB6689">
            <w:pPr>
              <w:pStyle w:val="Akapitzlist"/>
              <w:numPr>
                <w:ilvl w:val="0"/>
                <w:numId w:val="13"/>
              </w:numPr>
              <w:spacing w:after="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pl-PL" w:eastAsia="en-GB"/>
              </w:rPr>
            </w:pPr>
            <w:r w:rsidRPr="00DB6689">
              <w:rPr>
                <w:rFonts w:asciiTheme="minorHAnsi" w:eastAsia="Times New Roman" w:hAnsiTheme="minorHAnsi" w:cstheme="minorHAnsi"/>
                <w:b/>
                <w:bCs/>
                <w:lang w:val="pl-PL" w:eastAsia="en-GB"/>
              </w:rPr>
              <w:t>Innym rozwiązaniem antykryzysowym było:</w:t>
            </w:r>
          </w:p>
          <w:p w14:paraId="5A8D2382" w14:textId="77777777" w:rsidR="00DB6689" w:rsidRPr="00DB6689" w:rsidRDefault="00DB6689" w:rsidP="00DB6689">
            <w:pPr>
              <w:spacing w:after="0"/>
              <w:ind w:left="409"/>
              <w:textAlignment w:val="baseline"/>
              <w:rPr>
                <w:rFonts w:asciiTheme="minorHAnsi" w:eastAsia="Times New Roman" w:hAnsiTheme="minorHAnsi" w:cstheme="minorHAnsi"/>
                <w:bCs/>
                <w:lang w:val="pl-PL" w:eastAsia="en-GB"/>
              </w:rPr>
            </w:pPr>
            <w:r w:rsidRPr="00DB6689">
              <w:rPr>
                <w:rFonts w:asciiTheme="minorHAnsi" w:eastAsia="Times New Roman" w:hAnsiTheme="minorHAnsi" w:cstheme="minorHAnsi"/>
                <w:bCs/>
                <w:lang w:val="es-ES" w:eastAsia="en-GB"/>
              </w:rPr>
              <w:t>a.-</w:t>
            </w:r>
            <w:r w:rsidRPr="00DB6689">
              <w:rPr>
                <w:rFonts w:asciiTheme="minorHAnsi" w:eastAsia="Times New Roman" w:hAnsiTheme="minorHAnsi" w:cstheme="minorHAnsi"/>
                <w:bCs/>
                <w:lang w:val="pl-PL" w:eastAsia="en-GB"/>
              </w:rPr>
              <w:t xml:space="preserve"> wprowadzenie ograniczeń dotyczących elastycznych godzin pracy</w:t>
            </w:r>
          </w:p>
          <w:p w14:paraId="7398102F" w14:textId="77777777" w:rsidR="00DB6689" w:rsidRPr="00DB6689" w:rsidRDefault="00DB6689" w:rsidP="00DB6689">
            <w:pPr>
              <w:spacing w:after="0"/>
              <w:ind w:left="409"/>
              <w:textAlignment w:val="baseline"/>
              <w:rPr>
                <w:rFonts w:asciiTheme="minorHAnsi" w:eastAsia="Times New Roman" w:hAnsiTheme="minorHAnsi" w:cstheme="minorHAnsi"/>
                <w:bCs/>
                <w:lang w:val="pl-PL" w:eastAsia="en-GB"/>
              </w:rPr>
            </w:pPr>
            <w:r w:rsidRPr="00DB6689">
              <w:rPr>
                <w:rFonts w:asciiTheme="minorHAnsi" w:eastAsia="Times New Roman" w:hAnsiTheme="minorHAnsi" w:cstheme="minorHAnsi"/>
                <w:bCs/>
                <w:lang w:val="es-ES" w:eastAsia="en-GB"/>
              </w:rPr>
              <w:t>b.-</w:t>
            </w:r>
            <w:r w:rsidRPr="00DB6689">
              <w:rPr>
                <w:rFonts w:asciiTheme="minorHAnsi" w:eastAsia="Times New Roman" w:hAnsiTheme="minorHAnsi" w:cstheme="minorHAnsi"/>
                <w:bCs/>
                <w:lang w:val="pl-PL" w:eastAsia="en-GB"/>
              </w:rPr>
              <w:t xml:space="preserve"> zapobieganie odejściu pracowników</w:t>
            </w:r>
          </w:p>
          <w:p w14:paraId="2BB1D2BC" w14:textId="77777777" w:rsidR="00DB6689" w:rsidRPr="00DB6689" w:rsidRDefault="00DB6689" w:rsidP="00DB6689">
            <w:pPr>
              <w:spacing w:after="0"/>
              <w:ind w:left="409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pl-PL" w:eastAsia="en-GB"/>
              </w:rPr>
            </w:pPr>
            <w:r w:rsidRPr="00DB6689">
              <w:rPr>
                <w:rFonts w:asciiTheme="minorHAnsi" w:eastAsia="Times New Roman" w:hAnsiTheme="minorHAnsi" w:cstheme="minorHAnsi"/>
                <w:b/>
                <w:bCs/>
                <w:lang w:val="es-ES" w:eastAsia="en-GB"/>
              </w:rPr>
              <w:t>c.-dać pracodawcom możliwość wysyłania pracowników na zaległe urlopy</w:t>
            </w:r>
          </w:p>
          <w:p w14:paraId="41A84EAB" w14:textId="77777777" w:rsidR="006049C6" w:rsidRPr="0076461E" w:rsidRDefault="006049C6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266C9F"/>
                <w:lang w:eastAsia="en-GB"/>
              </w:rPr>
            </w:pPr>
          </w:p>
        </w:tc>
      </w:tr>
      <w:tr w:rsidR="006049C6" w:rsidRPr="0076461E" w14:paraId="4F681D87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11001234" w14:textId="77777777" w:rsidR="006049C6" w:rsidRPr="0076461E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76461E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lastRenderedPageBreak/>
              <w:t xml:space="preserve">Resources (videos, reference </w:t>
            </w:r>
            <w:proofErr w:type="gramStart"/>
            <w:r w:rsidRPr="0076461E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link</w:t>
            </w:r>
            <w:proofErr w:type="gramEnd"/>
            <w:r w:rsidRPr="0076461E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) 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7006C" w14:textId="77777777" w:rsidR="006049C6" w:rsidRPr="0076461E" w:rsidRDefault="006049C6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</w:p>
        </w:tc>
      </w:tr>
      <w:tr w:rsidR="006049C6" w:rsidRPr="0076461E" w14:paraId="0D56C854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841AC44" w14:textId="77777777" w:rsidR="006049C6" w:rsidRPr="0076461E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76461E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Related material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7A9FF2" w14:textId="77777777" w:rsidR="006049C6" w:rsidRPr="0076461E" w:rsidRDefault="006049C6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</w:p>
        </w:tc>
      </w:tr>
      <w:tr w:rsidR="006049C6" w:rsidRPr="0076461E" w14:paraId="105B4545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555007F2" w14:textId="77777777" w:rsidR="006049C6" w:rsidRPr="0076461E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76461E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Related PPT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DA90D" w14:textId="66583DC5" w:rsidR="006049C6" w:rsidRPr="0076461E" w:rsidRDefault="00975B19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  <w:r w:rsidRPr="00975B19">
              <w:rPr>
                <w:rFonts w:asciiTheme="minorHAnsi" w:hAnsiTheme="minorHAnsi" w:cstheme="minorHAnsi"/>
                <w:lang w:val="es-ES"/>
              </w:rPr>
              <w:t>Esmerald_state_aid.IWS.pptx</w:t>
            </w:r>
          </w:p>
        </w:tc>
      </w:tr>
      <w:tr w:rsidR="006049C6" w:rsidRPr="0076461E" w14:paraId="4050EC86" w14:textId="77777777" w:rsidTr="006975E6">
        <w:trPr>
          <w:trHeight w:val="2057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187D3120" w14:textId="77777777" w:rsidR="006049C6" w:rsidRPr="0076461E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s-ES"/>
              </w:rPr>
            </w:pPr>
            <w:r w:rsidRPr="0076461E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Bibliography 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9D2D59" w14:textId="77777777" w:rsidR="00DB6689" w:rsidRPr="00DB6689" w:rsidRDefault="00DB6689" w:rsidP="00DB6689">
            <w:pPr>
              <w:rPr>
                <w:rFonts w:asciiTheme="minorHAnsi" w:hAnsiTheme="minorHAnsi" w:cstheme="minorHAnsi"/>
                <w:lang w:val="pl-PL"/>
              </w:rPr>
            </w:pPr>
            <w:r w:rsidRPr="00DB6689">
              <w:rPr>
                <w:rFonts w:asciiTheme="minorHAnsi" w:hAnsiTheme="minorHAnsi" w:cstheme="minorHAnsi"/>
                <w:lang w:val="es-ES"/>
              </w:rPr>
              <w:t xml:space="preserve">Coronavirus (COVID-19): SME Policy Responses, OECD, updated 15 July 2020. </w:t>
            </w:r>
          </w:p>
          <w:p w14:paraId="16E17F5C" w14:textId="77777777" w:rsidR="00DB6689" w:rsidRPr="00DB6689" w:rsidRDefault="00DB6689" w:rsidP="00DB6689">
            <w:pPr>
              <w:rPr>
                <w:rFonts w:asciiTheme="minorHAnsi" w:hAnsiTheme="minorHAnsi" w:cstheme="minorHAnsi"/>
                <w:lang w:val="pl-PL"/>
              </w:rPr>
            </w:pPr>
            <w:r w:rsidRPr="00DB6689">
              <w:rPr>
                <w:rFonts w:asciiTheme="minorHAnsi" w:hAnsiTheme="minorHAnsi" w:cstheme="minorHAnsi"/>
                <w:lang w:val="es-ES"/>
              </w:rPr>
              <w:t xml:space="preserve">OECD SME and Entrepreneurship Outlook 2021. </w:t>
            </w:r>
          </w:p>
          <w:p w14:paraId="63DF9F99" w14:textId="77777777" w:rsidR="00DB6689" w:rsidRPr="00DB6689" w:rsidRDefault="00DB6689" w:rsidP="00DB6689">
            <w:pPr>
              <w:rPr>
                <w:rFonts w:asciiTheme="minorHAnsi" w:hAnsiTheme="minorHAnsi" w:cstheme="minorHAnsi"/>
                <w:lang w:val="pl-PL"/>
              </w:rPr>
            </w:pPr>
            <w:r w:rsidRPr="00DB6689">
              <w:rPr>
                <w:rFonts w:asciiTheme="minorHAnsi" w:hAnsiTheme="minorHAnsi" w:cstheme="minorHAnsi"/>
                <w:lang w:val="es-ES"/>
              </w:rPr>
              <w:t xml:space="preserve">Dębkowska, K., Kłosiewicz-Górecka, U., Szymańska, A., Ważniewski, P., Zybertowicz, K. (2021), Tarcza Antykryzysowa... Koło ratunkowe dla firm i gospodarki?, Gniazdowski, M., Kubisiak, A., Kutwa, K., Rybacki, J. (współpr.), Polski Instytut Ekonomiczny, Warszawa. </w:t>
            </w:r>
          </w:p>
          <w:p w14:paraId="14FA8CBF" w14:textId="77777777" w:rsidR="00DB6689" w:rsidRPr="00DB6689" w:rsidRDefault="00DB6689" w:rsidP="00DB6689">
            <w:pPr>
              <w:rPr>
                <w:rFonts w:asciiTheme="minorHAnsi" w:hAnsiTheme="minorHAnsi" w:cstheme="minorHAnsi"/>
                <w:lang w:val="pl-PL"/>
              </w:rPr>
            </w:pPr>
            <w:r w:rsidRPr="00DB6689">
              <w:rPr>
                <w:rFonts w:asciiTheme="minorHAnsi" w:hAnsiTheme="minorHAnsi" w:cstheme="minorHAnsi"/>
                <w:lang w:val="pl-PL"/>
              </w:rPr>
              <w:t>Buendia, J.L. i Dovalo, A. (2020). State Aid Versus COVID-19. The Commission Adopts a Temporary Framework. European State Aid Law Quarterly, 19(1).</w:t>
            </w:r>
          </w:p>
          <w:p w14:paraId="15D24FED" w14:textId="7C1DACC0" w:rsidR="006049C6" w:rsidRPr="00DB6689" w:rsidRDefault="00DB6689" w:rsidP="008C3AEB">
            <w:pPr>
              <w:rPr>
                <w:rFonts w:asciiTheme="minorHAnsi" w:hAnsiTheme="minorHAnsi" w:cstheme="minorHAnsi"/>
                <w:lang w:val="pl-PL"/>
              </w:rPr>
            </w:pPr>
            <w:r w:rsidRPr="00DB6689">
              <w:rPr>
                <w:rFonts w:asciiTheme="minorHAnsi" w:hAnsiTheme="minorHAnsi" w:cstheme="minorHAnsi"/>
                <w:lang w:val="en-US"/>
              </w:rPr>
              <w:lastRenderedPageBreak/>
              <w:t>Nicolaides, P. (2020a). Application of Article 107(2)(b) TFUE to Covid-19 Measures: State Aid to Make Good the Damage Caused by an Exceptional Occurance. Journal of European Competition Law &amp; Practise, 11(5–6). http://doi.org/10.1093/jeclap/lpaa026</w:t>
            </w:r>
          </w:p>
        </w:tc>
      </w:tr>
      <w:tr w:rsidR="006049C6" w:rsidRPr="0076461E" w14:paraId="5FEDCDD1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7B8E97B5" w14:textId="77777777" w:rsidR="006049C6" w:rsidRPr="0076461E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s-ES"/>
              </w:rPr>
            </w:pPr>
            <w:r w:rsidRPr="0076461E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lastRenderedPageBreak/>
              <w:t>Provided by 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F0273" w14:textId="33E95E98" w:rsidR="006049C6" w:rsidRPr="0076461E" w:rsidRDefault="00DB6689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s-ES"/>
              </w:rPr>
              <w:t>CUE</w:t>
            </w:r>
          </w:p>
        </w:tc>
      </w:tr>
    </w:tbl>
    <w:p w14:paraId="40FDB52D" w14:textId="77777777" w:rsidR="006049C6" w:rsidRPr="0076461E" w:rsidRDefault="006049C6" w:rsidP="006049C6">
      <w:pPr>
        <w:rPr>
          <w:rFonts w:asciiTheme="minorHAnsi" w:hAnsiTheme="minorHAnsi" w:cstheme="minorHAnsi"/>
          <w:lang w:val="es-ES"/>
        </w:rPr>
      </w:pPr>
    </w:p>
    <w:p w14:paraId="4CFF9A88" w14:textId="52E14F29" w:rsidR="00A4144D" w:rsidRPr="0076461E" w:rsidRDefault="00DB6689" w:rsidP="005D3D97">
      <w:pPr>
        <w:rPr>
          <w:rFonts w:asciiTheme="minorHAnsi" w:hAnsiTheme="minorHAnsi" w:cstheme="minorHAnsi"/>
        </w:rPr>
      </w:pPr>
    </w:p>
    <w:sectPr w:rsidR="00A4144D" w:rsidRPr="0076461E" w:rsidSect="006049C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1BABEA" w14:textId="77777777" w:rsidR="00082B11" w:rsidRDefault="00082B11" w:rsidP="005D3D97">
      <w:pPr>
        <w:spacing w:after="0" w:line="240" w:lineRule="auto"/>
      </w:pPr>
      <w:r>
        <w:separator/>
      </w:r>
    </w:p>
  </w:endnote>
  <w:endnote w:type="continuationSeparator" w:id="0">
    <w:p w14:paraId="009DFCD1" w14:textId="77777777" w:rsidR="00082B11" w:rsidRDefault="00082B11" w:rsidP="005D3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tlingmes New Roman P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Bahnschrift SemiLight">
    <w:altName w:val="Luminari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ADLjI9qxTA 0">
    <w:altName w:val="Cambria"/>
    <w:panose1 w:val="00000000000000000000"/>
    <w:charset w:val="0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2E7AA" w14:textId="7B58F247" w:rsidR="005D3D97" w:rsidRDefault="00505F0E">
    <w:pPr>
      <w:pStyle w:val="Stopka"/>
    </w:pPr>
    <w:r w:rsidRPr="00505F0E">
      <w:rPr>
        <w:noProof/>
        <w:lang w:val="en-US"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A3B873" wp14:editId="0B15278A">
              <wp:simplePos x="0" y="0"/>
              <wp:positionH relativeFrom="page">
                <wp:posOffset>1701101</wp:posOffset>
              </wp:positionH>
              <wp:positionV relativeFrom="paragraph">
                <wp:posOffset>-33468</wp:posOffset>
              </wp:positionV>
              <wp:extent cx="5913120" cy="680720"/>
              <wp:effectExtent l="0" t="0" r="0" b="0"/>
              <wp:wrapNone/>
              <wp:docPr id="2" name="Cuadro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13120" cy="6807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5524985" w14:textId="77777777" w:rsidR="00505F0E" w:rsidRPr="00505F0E" w:rsidRDefault="00505F0E" w:rsidP="00505F0E">
                          <w:pPr>
                            <w:rPr>
                              <w:rFonts w:ascii="YADLjI9qxTA 0" w:hAnsi="YADLjI9qxTA 0"/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en-US"/>
                            </w:rPr>
                          </w:pPr>
                          <w:proofErr w:type="gramStart"/>
                          <w:r w:rsidRPr="00505F0E">
                            <w:rPr>
                              <w:rFonts w:ascii="YADLjI9qxTA 0" w:hAnsi="YADLjI9qxTA 0"/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en-US"/>
                            </w:rPr>
                            <w:t>With the support of the Erasmus+ programme of the European Union.</w:t>
                          </w:r>
                          <w:proofErr w:type="gramEnd"/>
                          <w:r w:rsidRPr="00505F0E">
                            <w:rPr>
                              <w:rFonts w:ascii="YADLjI9qxTA 0" w:hAnsi="YADLjI9qxTA 0"/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en-US"/>
                            </w:rPr>
                            <w:t xml:space="preserve"> This document and its contents </w:t>
                          </w:r>
                          <w:proofErr w:type="gramStart"/>
                          <w:r w:rsidRPr="00505F0E">
                            <w:rPr>
                              <w:rFonts w:ascii="YADLjI9qxTA 0" w:hAnsi="YADLjI9qxTA 0"/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en-US"/>
                            </w:rPr>
                            <w:t>reflects</w:t>
                          </w:r>
                          <w:proofErr w:type="gramEnd"/>
                          <w:r w:rsidRPr="00505F0E">
                            <w:rPr>
                              <w:rFonts w:ascii="YADLjI9qxTA 0" w:hAnsi="YADLjI9qxTA 0"/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en-US"/>
                            </w:rPr>
                            <w:t xml:space="preserve"> the views only of the authors, and the Commission cannot be held responsible for any use which may be made of the information contained therein. 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uadroTexto 6" o:spid="_x0000_s1026" type="#_x0000_t202" style="position:absolute;margin-left:133.95pt;margin-top:-2.6pt;width:465.6pt;height:53.6pt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" filled="f" stroked="f">
              <v:textbox style="mso-fit-shape-to-text:t">
                <w:txbxContent>
                  <w:p w14:paraId="45524985" w14:textId="77777777" w:rsidR="00505F0E" w:rsidRPr="00505F0E" w:rsidRDefault="00505F0E" w:rsidP="00505F0E">
                    <w:pPr>
                      <w:rPr>
                        <w:rFonts w:ascii="YADLjI9qxTA 0" w:hAnsi="YADLjI9qxTA 0"/>
                        <w:color w:val="FFFFFF" w:themeColor="background1"/>
                        <w:kern w:val="24"/>
                        <w:sz w:val="18"/>
                        <w:szCs w:val="16"/>
                        <w:lang w:val="en-US"/>
                      </w:rPr>
                    </w:pPr>
                    <w:proofErr w:type="gramStart"/>
                    <w:r w:rsidRPr="00505F0E">
                      <w:rPr>
                        <w:rFonts w:ascii="YADLjI9qxTA 0" w:hAnsi="YADLjI9qxTA 0"/>
                        <w:color w:val="FFFFFF" w:themeColor="background1"/>
                        <w:kern w:val="24"/>
                        <w:sz w:val="18"/>
                        <w:szCs w:val="16"/>
                        <w:lang w:val="en-US"/>
                      </w:rPr>
                      <w:t>With the support of the Erasmus+ programme of the European Union.</w:t>
                    </w:r>
                    <w:proofErr w:type="gramEnd"/>
                    <w:r w:rsidRPr="00505F0E">
                      <w:rPr>
                        <w:rFonts w:ascii="YADLjI9qxTA 0" w:hAnsi="YADLjI9qxTA 0"/>
                        <w:color w:val="FFFFFF" w:themeColor="background1"/>
                        <w:kern w:val="24"/>
                        <w:sz w:val="18"/>
                        <w:szCs w:val="16"/>
                        <w:lang w:val="en-US"/>
                      </w:rPr>
                      <w:t xml:space="preserve"> This document and its contents </w:t>
                    </w:r>
                    <w:proofErr w:type="gramStart"/>
                    <w:r w:rsidRPr="00505F0E">
                      <w:rPr>
                        <w:rFonts w:ascii="YADLjI9qxTA 0" w:hAnsi="YADLjI9qxTA 0"/>
                        <w:color w:val="FFFFFF" w:themeColor="background1"/>
                        <w:kern w:val="24"/>
                        <w:sz w:val="18"/>
                        <w:szCs w:val="16"/>
                        <w:lang w:val="en-US"/>
                      </w:rPr>
                      <w:t>reflects</w:t>
                    </w:r>
                    <w:proofErr w:type="gramEnd"/>
                    <w:r w:rsidRPr="00505F0E">
                      <w:rPr>
                        <w:rFonts w:ascii="YADLjI9qxTA 0" w:hAnsi="YADLjI9qxTA 0"/>
                        <w:color w:val="FFFFFF" w:themeColor="background1"/>
                        <w:kern w:val="24"/>
                        <w:sz w:val="18"/>
                        <w:szCs w:val="16"/>
                        <w:lang w:val="en-US"/>
                      </w:rPr>
                      <w:t xml:space="preserve"> the views only of the authors, and the Commission cannot be held responsible for any use which may be made of the information contained therein. 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505F0E">
      <w:rPr>
        <w:noProof/>
        <w:lang w:val="en-US" w:eastAsia="pl-PL"/>
      </w:rPr>
      <w:drawing>
        <wp:anchor distT="0" distB="0" distL="114300" distR="114300" simplePos="0" relativeHeight="251665408" behindDoc="1" locked="0" layoutInCell="1" allowOverlap="1" wp14:anchorId="38BC7E1D" wp14:editId="19DD65C4">
          <wp:simplePos x="0" y="0"/>
          <wp:positionH relativeFrom="column">
            <wp:posOffset>-915798</wp:posOffset>
          </wp:positionH>
          <wp:positionV relativeFrom="paragraph">
            <wp:posOffset>69973</wp:posOffset>
          </wp:positionV>
          <wp:extent cx="1449705" cy="315595"/>
          <wp:effectExtent l="0" t="0" r="0" b="8255"/>
          <wp:wrapTight wrapText="bothSides">
            <wp:wrapPolygon edited="0">
              <wp:start x="0" y="0"/>
              <wp:lineTo x="0" y="20861"/>
              <wp:lineTo x="21288" y="20861"/>
              <wp:lineTo x="21288" y="7823"/>
              <wp:lineTo x="18449" y="0"/>
              <wp:lineTo x="0" y="0"/>
            </wp:wrapPolygon>
          </wp:wrapTight>
          <wp:docPr id="10" name="Picture 3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020D37D-7110-4D40-ACA1-FA70F807005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020D37D-7110-4D40-ACA1-FA70F807005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705" cy="315595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6E7229" wp14:editId="047DDA07">
              <wp:simplePos x="0" y="0"/>
              <wp:positionH relativeFrom="page">
                <wp:posOffset>15368</wp:posOffset>
              </wp:positionH>
              <wp:positionV relativeFrom="paragraph">
                <wp:posOffset>-167016</wp:posOffset>
              </wp:positionV>
              <wp:extent cx="7520940" cy="747977"/>
              <wp:effectExtent l="0" t="0" r="22860" b="1460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0940" cy="747977"/>
                      </a:xfrm>
                      <a:prstGeom prst="rect">
                        <a:avLst/>
                      </a:prstGeom>
                      <a:solidFill>
                        <a:srgbClr val="0CA373"/>
                      </a:solidFill>
                      <a:ln>
                        <a:solidFill>
                          <a:srgbClr val="0CA373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B438C98" id="Rectángulo 3" o:spid="_x0000_s1026" style="position:absolute;margin-left:1.2pt;margin-top:-13.15pt;width:592.2pt;height:5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" fillcolor="#0ca373" strokecolor="#0ca373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BC0AE5" w14:textId="77777777" w:rsidR="00082B11" w:rsidRDefault="00082B11" w:rsidP="005D3D97">
      <w:pPr>
        <w:spacing w:after="0" w:line="240" w:lineRule="auto"/>
      </w:pPr>
      <w:r>
        <w:separator/>
      </w:r>
    </w:p>
  </w:footnote>
  <w:footnote w:type="continuationSeparator" w:id="0">
    <w:p w14:paraId="73F98B23" w14:textId="77777777" w:rsidR="00082B11" w:rsidRDefault="00082B11" w:rsidP="005D3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5FC66" w14:textId="2255867C" w:rsidR="005D3D97" w:rsidRPr="000C31A9" w:rsidRDefault="005D3D97" w:rsidP="000C31A9">
    <w:pPr>
      <w:jc w:val="center"/>
      <w:rPr>
        <w:rFonts w:ascii="Bahnschrift SemiLight" w:hAnsi="Bahnschrift SemiLight"/>
        <w:b/>
        <w:bCs/>
        <w:lang w:val="en-US"/>
      </w:rPr>
    </w:pPr>
    <w:r w:rsidRPr="000C31A9">
      <w:rPr>
        <w:rFonts w:ascii="Bahnschrift SemiLight" w:hAnsi="Bahnschrift SemiLight"/>
        <w:b/>
        <w:bCs/>
        <w:noProof/>
        <w:lang w:val="en-US" w:eastAsia="pl-PL"/>
      </w:rPr>
      <w:drawing>
        <wp:anchor distT="0" distB="0" distL="114300" distR="114300" simplePos="0" relativeHeight="251664384" behindDoc="1" locked="0" layoutInCell="1" allowOverlap="1" wp14:anchorId="06897EAF" wp14:editId="6D1ED514">
          <wp:simplePos x="0" y="0"/>
          <wp:positionH relativeFrom="margin">
            <wp:align>left</wp:align>
          </wp:positionH>
          <wp:positionV relativeFrom="paragraph">
            <wp:posOffset>-171422</wp:posOffset>
          </wp:positionV>
          <wp:extent cx="1534160" cy="734695"/>
          <wp:effectExtent l="0" t="0" r="8890" b="8255"/>
          <wp:wrapTight wrapText="bothSides">
            <wp:wrapPolygon edited="0">
              <wp:start x="0" y="0"/>
              <wp:lineTo x="0" y="21283"/>
              <wp:lineTo x="21457" y="21283"/>
              <wp:lineTo x="21457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96" t="14738" r="9376" b="51961"/>
                  <a:stretch/>
                </pic:blipFill>
                <pic:spPr bwMode="auto">
                  <a:xfrm>
                    <a:off x="0" y="0"/>
                    <a:ext cx="1546751" cy="7405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31A9">
      <w:rPr>
        <w:rFonts w:ascii="Bahnschrift SemiLight" w:hAnsi="Bahnschrift SemiLight" w:cs="Arial"/>
        <w:b/>
        <w:bCs/>
        <w:lang w:val="en-GB"/>
      </w:rPr>
      <w:t>Enhancing SMEs’ Resilience After Lock-Down</w:t>
    </w:r>
  </w:p>
  <w:p w14:paraId="75A08B86" w14:textId="77777777" w:rsidR="005D3D97" w:rsidRPr="000C31A9" w:rsidRDefault="005D3D97" w:rsidP="000C31A9">
    <w:pPr>
      <w:jc w:val="center"/>
      <w:rPr>
        <w:rFonts w:ascii="Bahnschrift SemiLight" w:hAnsi="Bahnschrift SemiLight"/>
        <w:b/>
        <w:bCs/>
        <w:color w:val="0CA373"/>
      </w:rPr>
    </w:pPr>
    <w:proofErr w:type="gramStart"/>
    <w:r w:rsidRPr="000C31A9">
      <w:rPr>
        <w:rFonts w:ascii="Bahnschrift SemiLight" w:hAnsi="Bahnschrift SemiLight"/>
        <w:b/>
        <w:bCs/>
        <w:color w:val="0CA373"/>
      </w:rPr>
      <w:t>www.esmerald.eu</w:t>
    </w:r>
    <w:proofErr w:type="gramEnd"/>
  </w:p>
  <w:p w14:paraId="635AD7A1" w14:textId="311233AF" w:rsidR="005D3D97" w:rsidRDefault="005D3D97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2757F"/>
    <w:multiLevelType w:val="hybridMultilevel"/>
    <w:tmpl w:val="8794A62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C66A9F"/>
    <w:multiLevelType w:val="hybridMultilevel"/>
    <w:tmpl w:val="61F0BC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084791"/>
    <w:multiLevelType w:val="hybridMultilevel"/>
    <w:tmpl w:val="9BAC8C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890687"/>
    <w:multiLevelType w:val="hybridMultilevel"/>
    <w:tmpl w:val="3F10AD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62207"/>
    <w:multiLevelType w:val="hybridMultilevel"/>
    <w:tmpl w:val="3866F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A435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2EE16F0"/>
    <w:multiLevelType w:val="hybridMultilevel"/>
    <w:tmpl w:val="3B56CA64"/>
    <w:lvl w:ilvl="0" w:tplc="1CFEA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54D4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8CC1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FE84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C68B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500C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067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1C80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5484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7C0B2A"/>
    <w:multiLevelType w:val="multilevel"/>
    <w:tmpl w:val="F7E6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ED684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71F3A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77058E9"/>
    <w:multiLevelType w:val="hybridMultilevel"/>
    <w:tmpl w:val="67F23D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5E7CDA"/>
    <w:multiLevelType w:val="hybridMultilevel"/>
    <w:tmpl w:val="0C044D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8"/>
  </w:num>
  <w:num w:numId="5">
    <w:abstractNumId w:val="9"/>
  </w:num>
  <w:num w:numId="6">
    <w:abstractNumId w:val="0"/>
  </w:num>
  <w:num w:numId="7">
    <w:abstractNumId w:val="3"/>
  </w:num>
  <w:num w:numId="8">
    <w:abstractNumId w:val="11"/>
  </w:num>
  <w:num w:numId="9">
    <w:abstractNumId w:val="10"/>
  </w:num>
  <w:num w:numId="10">
    <w:abstractNumId w:val="2"/>
  </w:num>
  <w:num w:numId="11">
    <w:abstractNumId w:val="1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93"/>
    <w:rsid w:val="00082B11"/>
    <w:rsid w:val="000945CE"/>
    <w:rsid w:val="000C31A9"/>
    <w:rsid w:val="0018030C"/>
    <w:rsid w:val="001960E6"/>
    <w:rsid w:val="002D6257"/>
    <w:rsid w:val="00351973"/>
    <w:rsid w:val="00505F0E"/>
    <w:rsid w:val="005C508D"/>
    <w:rsid w:val="005D3D97"/>
    <w:rsid w:val="005F5748"/>
    <w:rsid w:val="006049C6"/>
    <w:rsid w:val="006975E6"/>
    <w:rsid w:val="006E737F"/>
    <w:rsid w:val="007056E7"/>
    <w:rsid w:val="0076461E"/>
    <w:rsid w:val="00774CCE"/>
    <w:rsid w:val="00786B5A"/>
    <w:rsid w:val="00795000"/>
    <w:rsid w:val="008C3AEB"/>
    <w:rsid w:val="008E2D90"/>
    <w:rsid w:val="009621A6"/>
    <w:rsid w:val="00975B19"/>
    <w:rsid w:val="009D3E93"/>
    <w:rsid w:val="00A43ECC"/>
    <w:rsid w:val="00B04E25"/>
    <w:rsid w:val="00C17ABD"/>
    <w:rsid w:val="00C37389"/>
    <w:rsid w:val="00C56C9D"/>
    <w:rsid w:val="00D87393"/>
    <w:rsid w:val="00DB6689"/>
    <w:rsid w:val="00EE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5C3109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9C6"/>
    <w:pPr>
      <w:spacing w:after="200" w:line="276" w:lineRule="auto"/>
    </w:pPr>
    <w:rPr>
      <w:rFonts w:ascii="Calibri" w:eastAsia="Calibri" w:hAnsi="Calibri" w:cs="Times New Roman"/>
      <w:lang w:val="it-IT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3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3D97"/>
  </w:style>
  <w:style w:type="paragraph" w:styleId="Stopka">
    <w:name w:val="footer"/>
    <w:basedOn w:val="Normalny"/>
    <w:link w:val="StopkaZnak"/>
    <w:uiPriority w:val="99"/>
    <w:unhideWhenUsed/>
    <w:rsid w:val="005D3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3D97"/>
  </w:style>
  <w:style w:type="paragraph" w:styleId="Akapitzlist">
    <w:name w:val="List Paragraph"/>
    <w:basedOn w:val="Normalny"/>
    <w:uiPriority w:val="99"/>
    <w:qFormat/>
    <w:rsid w:val="006049C6"/>
    <w:pPr>
      <w:ind w:left="720"/>
      <w:contextualSpacing/>
    </w:pPr>
    <w:rPr>
      <w:lang w:val="sk-SK"/>
    </w:rPr>
  </w:style>
  <w:style w:type="table" w:styleId="Siatkatabeli">
    <w:name w:val="Table Grid"/>
    <w:basedOn w:val="Standardowy"/>
    <w:uiPriority w:val="39"/>
    <w:rsid w:val="006049C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94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945CE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y2iqfc">
    <w:name w:val="y2iqfc"/>
    <w:basedOn w:val="Domylnaczcionkaakapitu"/>
    <w:rsid w:val="000945C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9C6"/>
    <w:pPr>
      <w:spacing w:after="200" w:line="276" w:lineRule="auto"/>
    </w:pPr>
    <w:rPr>
      <w:rFonts w:ascii="Calibri" w:eastAsia="Calibri" w:hAnsi="Calibri" w:cs="Times New Roman"/>
      <w:lang w:val="it-IT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3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3D97"/>
  </w:style>
  <w:style w:type="paragraph" w:styleId="Stopka">
    <w:name w:val="footer"/>
    <w:basedOn w:val="Normalny"/>
    <w:link w:val="StopkaZnak"/>
    <w:uiPriority w:val="99"/>
    <w:unhideWhenUsed/>
    <w:rsid w:val="005D3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3D97"/>
  </w:style>
  <w:style w:type="paragraph" w:styleId="Akapitzlist">
    <w:name w:val="List Paragraph"/>
    <w:basedOn w:val="Normalny"/>
    <w:uiPriority w:val="99"/>
    <w:qFormat/>
    <w:rsid w:val="006049C6"/>
    <w:pPr>
      <w:ind w:left="720"/>
      <w:contextualSpacing/>
    </w:pPr>
    <w:rPr>
      <w:lang w:val="sk-SK"/>
    </w:rPr>
  </w:style>
  <w:style w:type="table" w:styleId="Siatkatabeli">
    <w:name w:val="Table Grid"/>
    <w:basedOn w:val="Standardowy"/>
    <w:uiPriority w:val="39"/>
    <w:rsid w:val="006049C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94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945CE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y2iqfc">
    <w:name w:val="y2iqfc"/>
    <w:basedOn w:val="Domylnaczcionkaakapitu"/>
    <w:rsid w:val="00094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68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449</Words>
  <Characters>2700</Characters>
  <Application>Microsoft Macintosh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</dc:creator>
  <cp:keywords/>
  <dc:description/>
  <cp:lastModifiedBy>Grzegorz Mania</cp:lastModifiedBy>
  <cp:revision>2</cp:revision>
  <dcterms:created xsi:type="dcterms:W3CDTF">2022-10-21T19:00:00Z</dcterms:created>
  <dcterms:modified xsi:type="dcterms:W3CDTF">2022-10-21T19:00:00Z</dcterms:modified>
</cp:coreProperties>
</file>